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409E4F1C"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925909">
        <w:rPr>
          <w:rFonts w:cs="Arial"/>
          <w:szCs w:val="22"/>
        </w:rPr>
        <w:t>4</w:t>
      </w:r>
      <w:r w:rsidR="00BB6634">
        <w:rPr>
          <w:rFonts w:cs="Arial"/>
          <w:szCs w:val="22"/>
        </w:rPr>
        <w:t>bis</w:t>
      </w:r>
      <w:r w:rsidR="005C3EE4" w:rsidRPr="004E68D9">
        <w:rPr>
          <w:rFonts w:cs="Arial"/>
          <w:szCs w:val="22"/>
        </w:rPr>
        <w:t>-</w:t>
      </w:r>
      <w:r w:rsidR="00D34BEE" w:rsidRPr="004E68D9">
        <w:rPr>
          <w:rFonts w:cs="Arial"/>
          <w:szCs w:val="22"/>
        </w:rPr>
        <w:t>e</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r w:rsidR="00910330" w:rsidRPr="00910330">
        <w:t xml:space="preserve"> </w:t>
      </w:r>
      <w:r w:rsidR="00910330">
        <w:t>2216588</w:t>
      </w:r>
      <w:bookmarkStart w:id="2" w:name="_GoBack"/>
      <w:bookmarkEnd w:id="2"/>
    </w:p>
    <w:p w14:paraId="1DC1B158" w14:textId="00380357" w:rsidR="00675C27" w:rsidRPr="00444A16" w:rsidRDefault="009D7747" w:rsidP="00F71A33">
      <w:pPr>
        <w:pStyle w:val="afb"/>
        <w:rPr>
          <w:rFonts w:eastAsia="宋体"/>
          <w:lang w:eastAsia="zh-CN"/>
        </w:rPr>
      </w:pPr>
      <w:r>
        <w:rPr>
          <w:rFonts w:eastAsia="宋体"/>
          <w:lang w:eastAsia="zh-CN"/>
        </w:rPr>
        <w:t xml:space="preserve">Electronic Meeting, </w:t>
      </w:r>
      <w:r w:rsidR="00BB6634">
        <w:rPr>
          <w:rFonts w:eastAsia="宋体"/>
          <w:lang w:eastAsia="zh-CN"/>
        </w:rPr>
        <w:t>October</w:t>
      </w:r>
      <w:r w:rsidR="00261464">
        <w:rPr>
          <w:rFonts w:eastAsia="宋体"/>
          <w:lang w:eastAsia="zh-CN"/>
        </w:rPr>
        <w:t xml:space="preserve"> </w:t>
      </w:r>
      <w:r w:rsidR="00BB6634">
        <w:rPr>
          <w:rFonts w:eastAsia="宋体"/>
          <w:lang w:eastAsia="zh-CN"/>
        </w:rPr>
        <w:t>10</w:t>
      </w:r>
      <w:r w:rsidR="00261464">
        <w:rPr>
          <w:rFonts w:eastAsia="宋体"/>
          <w:lang w:eastAsia="zh-CN"/>
        </w:rPr>
        <w:t xml:space="preserve"> – </w:t>
      </w:r>
      <w:r w:rsidR="00BB6634">
        <w:rPr>
          <w:rFonts w:eastAsia="宋体"/>
          <w:lang w:eastAsia="zh-CN"/>
        </w:rPr>
        <w:t>19</w:t>
      </w:r>
      <w:r w:rsidR="0042456A">
        <w:rPr>
          <w:rFonts w:eastAsia="宋体"/>
          <w:lang w:eastAsia="zh-CN"/>
        </w:rPr>
        <w:t>, 2022</w:t>
      </w:r>
    </w:p>
    <w:p w14:paraId="2ABD4DE5" w14:textId="77777777" w:rsidR="00F71A33" w:rsidRPr="00F71A33" w:rsidRDefault="00F71A33" w:rsidP="00F71A33">
      <w:pPr>
        <w:pStyle w:val="afb"/>
        <w:rPr>
          <w:rFonts w:eastAsia="宋体"/>
          <w:lang w:eastAsia="zh-CN"/>
        </w:rPr>
      </w:pPr>
    </w:p>
    <w:p w14:paraId="3B620443"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3A4A4F6A" w14:textId="68CC306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96A80">
        <w:rPr>
          <w:rFonts w:ascii="Arial" w:hAnsi="Arial" w:cs="Arial"/>
          <w:sz w:val="22"/>
        </w:rPr>
        <w:t>O</w:t>
      </w:r>
      <w:r w:rsidR="00D02F4C">
        <w:rPr>
          <w:rFonts w:ascii="Arial" w:hAnsi="Arial" w:cs="Arial"/>
          <w:sz w:val="22"/>
        </w:rPr>
        <w:t xml:space="preserve">n </w:t>
      </w:r>
      <w:r w:rsidR="00553EA7" w:rsidRPr="00553EA7">
        <w:rPr>
          <w:rFonts w:ascii="Arial" w:hAnsi="Arial" w:cs="Arial"/>
          <w:sz w:val="22"/>
        </w:rPr>
        <w:t>further enhancement for NR UL coverage</w:t>
      </w:r>
    </w:p>
    <w:p w14:paraId="4FD55D83" w14:textId="2597204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962B6">
        <w:rPr>
          <w:rFonts w:ascii="Arial" w:hAnsi="Arial" w:cs="Arial"/>
          <w:sz w:val="22"/>
        </w:rPr>
        <w:t>6</w:t>
      </w:r>
      <w:r w:rsidR="00D02F4C">
        <w:rPr>
          <w:rFonts w:ascii="Arial" w:hAnsi="Arial" w:cs="Arial"/>
          <w:sz w:val="22"/>
        </w:rPr>
        <w:t>.</w:t>
      </w:r>
      <w:r w:rsidR="0005355A">
        <w:rPr>
          <w:rFonts w:ascii="Arial" w:hAnsi="Arial" w:cs="Arial"/>
          <w:sz w:val="22"/>
        </w:rPr>
        <w:t>2</w:t>
      </w:r>
      <w:r w:rsidR="00BD0694">
        <w:rPr>
          <w:rFonts w:ascii="Arial" w:hAnsi="Arial" w:cs="Arial"/>
          <w:sz w:val="22"/>
        </w:rPr>
        <w:t>3</w:t>
      </w:r>
    </w:p>
    <w:p w14:paraId="477159C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23F837AC" w14:textId="667268E4" w:rsidR="00BB4057" w:rsidRDefault="00BB4057" w:rsidP="00AB1467">
      <w:pPr>
        <w:jc w:val="both"/>
      </w:pPr>
      <w:r>
        <w:t>In RAN#96, the revised WI for Rel-18 further NR coverage enhancements has been approved [1]. The objectives related to RAN4 are highlighted as below.</w:t>
      </w:r>
    </w:p>
    <w:tbl>
      <w:tblPr>
        <w:tblStyle w:val="af8"/>
        <w:tblW w:w="0" w:type="auto"/>
        <w:tblLook w:val="04A0" w:firstRow="1" w:lastRow="0" w:firstColumn="1" w:lastColumn="0" w:noHBand="0" w:noVBand="1"/>
      </w:tblPr>
      <w:tblGrid>
        <w:gridCol w:w="9631"/>
      </w:tblGrid>
      <w:tr w:rsidR="00DA0EEC" w14:paraId="1B8CC27F" w14:textId="77777777" w:rsidTr="00DA0EEC">
        <w:tc>
          <w:tcPr>
            <w:tcW w:w="9631" w:type="dxa"/>
          </w:tcPr>
          <w:p w14:paraId="5185918C" w14:textId="77777777" w:rsidR="00DA0EEC" w:rsidRPr="008F6BB8" w:rsidRDefault="00DA0EEC" w:rsidP="00DA0EEC">
            <w:pPr>
              <w:rPr>
                <w:iCs/>
                <w:lang w:val="en-US"/>
              </w:rPr>
            </w:pPr>
            <w:r w:rsidRPr="00C319E5">
              <w:rPr>
                <w:iCs/>
                <w:lang w:val="en-US"/>
              </w:rPr>
              <w:t>The detailed objectives of the work item are as follows:</w:t>
            </w:r>
          </w:p>
          <w:p w14:paraId="0C2D927C" w14:textId="77777777" w:rsidR="00DA0EEC" w:rsidRDefault="00DA0EEC" w:rsidP="00DA0EEC">
            <w:pPr>
              <w:numPr>
                <w:ilvl w:val="0"/>
                <w:numId w:val="27"/>
              </w:numPr>
              <w:overflowPunct/>
              <w:autoSpaceDE/>
              <w:autoSpaceDN/>
              <w:adjustRightInd/>
              <w:spacing w:before="120" w:after="120" w:line="276" w:lineRule="auto"/>
              <w:ind w:hanging="357"/>
              <w:jc w:val="both"/>
              <w:textAlignment w:val="auto"/>
              <w:rPr>
                <w:lang w:val="en-US"/>
              </w:rPr>
            </w:pPr>
            <w:r w:rsidRPr="007843FE">
              <w:rPr>
                <w:rFonts w:hint="eastAsia"/>
                <w:lang w:val="en-US"/>
              </w:rPr>
              <w:t>S</w:t>
            </w:r>
            <w:r w:rsidRPr="007843FE">
              <w:rPr>
                <w:lang w:val="en-US"/>
              </w:rPr>
              <w:t>pecify following PRACH coverage enhancements (RAN1, RAN2)</w:t>
            </w:r>
          </w:p>
          <w:p w14:paraId="4B5964BB" w14:textId="77777777" w:rsidR="00DA0EEC" w:rsidRDefault="00DA0EEC" w:rsidP="00DA0EEC">
            <w:pPr>
              <w:numPr>
                <w:ilvl w:val="1"/>
                <w:numId w:val="27"/>
              </w:numPr>
              <w:overflowPunct/>
              <w:autoSpaceDE/>
              <w:autoSpaceDN/>
              <w:adjustRightInd/>
              <w:spacing w:before="120" w:after="120" w:line="276" w:lineRule="auto"/>
              <w:ind w:hanging="357"/>
              <w:jc w:val="both"/>
              <w:textAlignment w:val="auto"/>
            </w:pPr>
            <w:r w:rsidRPr="007843FE">
              <w:rPr>
                <w:iCs/>
                <w:lang w:val="en-US"/>
              </w:rPr>
              <w:t xml:space="preserve">Multiple PRACH transmissions with same beams </w:t>
            </w:r>
            <w:r w:rsidRPr="00E74766">
              <w:rPr>
                <w:rFonts w:hint="eastAsia"/>
                <w:iCs/>
                <w:lang w:val="en-US"/>
              </w:rPr>
              <w:t xml:space="preserve">for </w:t>
            </w:r>
            <w:r w:rsidRPr="007843FE">
              <w:rPr>
                <w:iCs/>
                <w:lang w:val="en-US"/>
              </w:rPr>
              <w:t>4-step RACH procedure</w:t>
            </w:r>
          </w:p>
          <w:p w14:paraId="3F7A30ED" w14:textId="77777777" w:rsidR="00DA0EEC" w:rsidRDefault="00DA0EEC" w:rsidP="00DA0EEC">
            <w:pPr>
              <w:numPr>
                <w:ilvl w:val="1"/>
                <w:numId w:val="27"/>
              </w:numPr>
              <w:overflowPunct/>
              <w:autoSpaceDE/>
              <w:autoSpaceDN/>
              <w:adjustRightInd/>
              <w:spacing w:before="120" w:after="120" w:line="276" w:lineRule="auto"/>
              <w:ind w:hanging="357"/>
              <w:jc w:val="both"/>
              <w:textAlignment w:val="auto"/>
            </w:pPr>
            <w:r w:rsidRPr="007843FE">
              <w:rPr>
                <w:iCs/>
                <w:lang w:val="en-US"/>
              </w:rPr>
              <w:t xml:space="preserve">Study, and if justified, specify PRACH transmissions with different beams </w:t>
            </w:r>
            <w:r w:rsidRPr="00E74766">
              <w:rPr>
                <w:rFonts w:hint="eastAsia"/>
                <w:iCs/>
                <w:lang w:val="en-US"/>
              </w:rPr>
              <w:t xml:space="preserve">for </w:t>
            </w:r>
            <w:r w:rsidRPr="007843FE">
              <w:rPr>
                <w:iCs/>
                <w:lang w:val="en-US"/>
              </w:rPr>
              <w:t>4-step RACH procedure</w:t>
            </w:r>
          </w:p>
          <w:p w14:paraId="4DB3C984" w14:textId="77777777" w:rsidR="00DA0EEC" w:rsidRDefault="00DA0EEC" w:rsidP="00DA0EEC">
            <w:pPr>
              <w:numPr>
                <w:ilvl w:val="1"/>
                <w:numId w:val="27"/>
              </w:numPr>
              <w:overflowPunct/>
              <w:autoSpaceDE/>
              <w:autoSpaceDN/>
              <w:adjustRightInd/>
              <w:spacing w:before="120" w:after="120" w:line="276" w:lineRule="auto"/>
              <w:ind w:hanging="357"/>
              <w:jc w:val="both"/>
              <w:textAlignment w:val="auto"/>
            </w:pPr>
            <w:r w:rsidRPr="007843FE">
              <w:rPr>
                <w:iCs/>
                <w:lang w:val="en-US"/>
              </w:rPr>
              <w:t>Note</w:t>
            </w:r>
            <w:r w:rsidRPr="00E74766">
              <w:rPr>
                <w:rFonts w:hint="eastAsia"/>
                <w:iCs/>
                <w:lang w:val="en-US"/>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0546A97E" w14:textId="77777777" w:rsidR="00DA0EEC" w:rsidRPr="007843FE" w:rsidRDefault="00DA0EEC" w:rsidP="00DA0EEC">
            <w:pPr>
              <w:numPr>
                <w:ilvl w:val="1"/>
                <w:numId w:val="27"/>
              </w:numPr>
              <w:overflowPunct/>
              <w:autoSpaceDE/>
              <w:autoSpaceDN/>
              <w:adjustRightInd/>
              <w:spacing w:before="120" w:after="120" w:line="276" w:lineRule="auto"/>
              <w:ind w:hanging="357"/>
              <w:jc w:val="both"/>
              <w:textAlignment w:val="auto"/>
            </w:pPr>
            <w:r w:rsidRPr="007843FE">
              <w:rPr>
                <w:iCs/>
                <w:lang w:val="en-US"/>
              </w:rPr>
              <w:t>Note</w:t>
            </w:r>
            <w:r w:rsidRPr="00E74766">
              <w:rPr>
                <w:rFonts w:hint="eastAsia"/>
                <w:iCs/>
                <w:lang w:val="en-US"/>
              </w:rPr>
              <w:t xml:space="preserve"> 2</w:t>
            </w:r>
            <w:r w:rsidRPr="007843FE">
              <w:rPr>
                <w:iCs/>
                <w:lang w:val="en-US"/>
              </w:rPr>
              <w:t xml:space="preserve">: The enhancements of PRACH are targeting short </w:t>
            </w:r>
            <w:r w:rsidRPr="008F6BB8">
              <w:rPr>
                <w:rFonts w:hint="eastAsia"/>
                <w:iCs/>
                <w:lang w:val="en-US"/>
              </w:rPr>
              <w:t>PRACH</w:t>
            </w:r>
            <w:r w:rsidRPr="007843FE">
              <w:rPr>
                <w:iCs/>
                <w:lang w:val="en-US"/>
              </w:rPr>
              <w:t xml:space="preserve"> formats</w:t>
            </w:r>
            <w:r w:rsidRPr="00E74766">
              <w:rPr>
                <w:rFonts w:hint="eastAsia"/>
                <w:iCs/>
                <w:lang w:val="en-US"/>
              </w:rPr>
              <w:t xml:space="preserve">, and </w:t>
            </w:r>
            <w:r w:rsidRPr="008E41E9">
              <w:rPr>
                <w:szCs w:val="21"/>
              </w:rPr>
              <w:t>can also apply to other formats</w:t>
            </w:r>
            <w:r w:rsidRPr="007843FE">
              <w:rPr>
                <w:iCs/>
                <w:lang w:val="en-US"/>
              </w:rPr>
              <w:t xml:space="preserve"> when applicable.</w:t>
            </w:r>
          </w:p>
          <w:p w14:paraId="02E106C4" w14:textId="77777777" w:rsidR="00DA0EEC" w:rsidRPr="007843FE" w:rsidRDefault="00DA0EEC" w:rsidP="00DA0EEC">
            <w:pPr>
              <w:numPr>
                <w:ilvl w:val="0"/>
                <w:numId w:val="27"/>
              </w:numPr>
              <w:overflowPunct/>
              <w:autoSpaceDE/>
              <w:autoSpaceDN/>
              <w:adjustRightInd/>
              <w:spacing w:before="120" w:after="120" w:line="276" w:lineRule="auto"/>
              <w:ind w:hanging="357"/>
              <w:jc w:val="both"/>
              <w:textAlignment w:val="auto"/>
              <w:rPr>
                <w:lang w:val="en-US"/>
              </w:rPr>
            </w:pPr>
            <w:r w:rsidRPr="007843FE" w:rsidDel="00FC5447">
              <w:rPr>
                <w:lang w:val="en-US"/>
              </w:rPr>
              <w:t xml:space="preserve"> </w:t>
            </w:r>
            <w:r w:rsidRPr="00DA0EEC">
              <w:rPr>
                <w:highlight w:val="yellow"/>
                <w:lang w:val="en-US"/>
              </w:rPr>
              <w:t>Study and if necessary specify following power domain enhancements</w:t>
            </w:r>
          </w:p>
          <w:p w14:paraId="0DCD4554" w14:textId="77777777" w:rsidR="00DA0EEC" w:rsidRPr="007B39D0" w:rsidRDefault="00DA0EEC" w:rsidP="00DA0EEC">
            <w:pPr>
              <w:numPr>
                <w:ilvl w:val="1"/>
                <w:numId w:val="27"/>
              </w:numPr>
              <w:overflowPunct/>
              <w:autoSpaceDE/>
              <w:autoSpaceDN/>
              <w:adjustRightInd/>
              <w:spacing w:before="120" w:after="120" w:line="276" w:lineRule="auto"/>
              <w:jc w:val="both"/>
              <w:textAlignment w:val="auto"/>
              <w:rPr>
                <w:iCs/>
                <w:lang w:val="en-US"/>
              </w:rPr>
            </w:pPr>
            <w:r w:rsidRPr="007B39D0">
              <w:rPr>
                <w:iCs/>
                <w:lang w:val="en-US"/>
              </w:rPr>
              <w:t xml:space="preserve">Enhancements to realize </w:t>
            </w:r>
            <w:r w:rsidRPr="007B39D0">
              <w:rPr>
                <w:rFonts w:hint="eastAsia"/>
                <w:iCs/>
                <w:lang w:val="en-US"/>
              </w:rPr>
              <w:t>i</w:t>
            </w:r>
            <w:r w:rsidRPr="007B39D0">
              <w:rPr>
                <w:iCs/>
                <w:lang w:val="en-US"/>
              </w:rPr>
              <w:t xml:space="preserve">ncreasing UE power high limit for CA and DC based on Rel-17 RAN4 work on “Increasing UE power high limit for CA and DC”, </w:t>
            </w:r>
            <w:r w:rsidRPr="007B39D0">
              <w:rPr>
                <w:rFonts w:hint="eastAsia"/>
                <w:iCs/>
                <w:lang w:val="en-US"/>
              </w:rPr>
              <w:t xml:space="preserve">in compliance with </w:t>
            </w:r>
            <w:r w:rsidRPr="007B39D0">
              <w:rPr>
                <w:iCs/>
                <w:lang w:val="en-US"/>
              </w:rPr>
              <w:t>relevant regulations</w:t>
            </w:r>
            <w:r>
              <w:rPr>
                <w:iCs/>
                <w:lang w:val="en-US"/>
              </w:rPr>
              <w:t xml:space="preserve"> (RAN4, RAN1)</w:t>
            </w:r>
          </w:p>
          <w:p w14:paraId="16E95CDF" w14:textId="77777777" w:rsidR="00DA0EEC" w:rsidRPr="006949AE" w:rsidRDefault="00DA0EEC" w:rsidP="00DA0EEC">
            <w:pPr>
              <w:numPr>
                <w:ilvl w:val="1"/>
                <w:numId w:val="27"/>
              </w:numPr>
              <w:overflowPunct/>
              <w:autoSpaceDE/>
              <w:autoSpaceDN/>
              <w:adjustRightInd/>
              <w:spacing w:before="120" w:after="120" w:line="276" w:lineRule="auto"/>
              <w:jc w:val="both"/>
              <w:textAlignment w:val="auto"/>
              <w:rPr>
                <w:iCs/>
                <w:lang w:val="en-US"/>
              </w:rPr>
            </w:pPr>
            <w:r w:rsidRPr="006949AE">
              <w:rPr>
                <w:iCs/>
                <w:lang w:val="en-US"/>
              </w:rPr>
              <w:t xml:space="preserve">Enhancements to reduce MPR/PAR, including </w:t>
            </w:r>
            <w:r w:rsidRPr="00E74766">
              <w:rPr>
                <w:rFonts w:hint="eastAsia"/>
                <w:iCs/>
                <w:lang w:val="en-US"/>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3735871A" w14:textId="59936433" w:rsidR="00DA0EEC" w:rsidRPr="00DA0EEC" w:rsidRDefault="00DA0EEC" w:rsidP="00AB1467">
            <w:pPr>
              <w:numPr>
                <w:ilvl w:val="0"/>
                <w:numId w:val="27"/>
              </w:numPr>
              <w:overflowPunct/>
              <w:autoSpaceDE/>
              <w:autoSpaceDN/>
              <w:adjustRightInd/>
              <w:spacing w:before="120" w:after="120" w:line="276" w:lineRule="auto"/>
              <w:ind w:hanging="357"/>
              <w:jc w:val="both"/>
              <w:textAlignment w:val="auto"/>
              <w:rPr>
                <w:lang w:val="en-US"/>
              </w:rPr>
            </w:pPr>
            <w:r w:rsidRPr="006949AE" w:rsidDel="007843FE">
              <w:rPr>
                <w:rFonts w:hint="eastAsia"/>
                <w:iCs/>
                <w:lang w:val="en-US" w:eastAsia="ja-JP"/>
              </w:rPr>
              <w:t xml:space="preserve"> </w:t>
            </w:r>
            <w:r w:rsidRPr="007843FE">
              <w:rPr>
                <w:lang w:val="en-US"/>
              </w:rPr>
              <w:t xml:space="preserve">Specify </w:t>
            </w:r>
            <w:r w:rsidRPr="000E6F47">
              <w:rPr>
                <w:sz w:val="21"/>
                <w:szCs w:val="21"/>
              </w:rPr>
              <w:t>enhancements to support dynamic switching between DFT-</w:t>
            </w:r>
            <w:r>
              <w:rPr>
                <w:rFonts w:hint="eastAsia"/>
                <w:sz w:val="21"/>
                <w:szCs w:val="21"/>
              </w:rPr>
              <w:t>S</w:t>
            </w:r>
            <w:r w:rsidRPr="000E6F47">
              <w:rPr>
                <w:sz w:val="21"/>
                <w:szCs w:val="21"/>
              </w:rPr>
              <w:t>-OFDM and CP-OFDM (RAN1)</w:t>
            </w:r>
          </w:p>
        </w:tc>
      </w:tr>
    </w:tbl>
    <w:p w14:paraId="05BE6015" w14:textId="693A3892" w:rsidR="00AB1467" w:rsidRDefault="00D6342C" w:rsidP="00AB1467">
      <w:pPr>
        <w:jc w:val="both"/>
      </w:pPr>
      <w:r>
        <w:t xml:space="preserve">In this contribution, we would like </w:t>
      </w:r>
      <w:r w:rsidR="00AD3838">
        <w:t>to share our views regarding</w:t>
      </w:r>
      <w:r w:rsidR="0069092D">
        <w:t xml:space="preserve"> </w:t>
      </w:r>
      <w:r w:rsidR="00DA0EEC">
        <w:t>this WI from RAN4 perspective</w:t>
      </w:r>
      <w:r w:rsidR="00D01300">
        <w:t>.</w:t>
      </w:r>
    </w:p>
    <w:p w14:paraId="4B01C4F5" w14:textId="77777777" w:rsidR="00062E8E" w:rsidRDefault="00062E8E" w:rsidP="00F23E96">
      <w:pPr>
        <w:pStyle w:val="1"/>
        <w:spacing w:after="240"/>
        <w:rPr>
          <w:rFonts w:eastAsia="宋体"/>
          <w:lang w:eastAsia="zh-CN"/>
        </w:rPr>
      </w:pPr>
      <w:r>
        <w:rPr>
          <w:rFonts w:eastAsia="宋体" w:hint="eastAsia"/>
          <w:lang w:eastAsia="zh-CN"/>
        </w:rPr>
        <w:t>Discussion</w:t>
      </w:r>
    </w:p>
    <w:p w14:paraId="3D35F160" w14:textId="4BA1E435" w:rsidR="00711D0A" w:rsidRDefault="00711D0A" w:rsidP="00F31D7D">
      <w:pPr>
        <w:pStyle w:val="2"/>
        <w:spacing w:after="240"/>
      </w:pPr>
      <w:r>
        <w:t xml:space="preserve">On the enhancements to </w:t>
      </w:r>
      <w:r w:rsidR="0040798A">
        <w:t>UE power high limit</w:t>
      </w:r>
    </w:p>
    <w:p w14:paraId="3C478234" w14:textId="77777777" w:rsidR="00CB474E" w:rsidRDefault="00CB474E" w:rsidP="0040798A">
      <w:pPr>
        <w:rPr>
          <w:lang w:eastAsia="en-US"/>
        </w:rPr>
      </w:pPr>
      <w:r>
        <w:rPr>
          <w:lang w:eastAsia="en-US"/>
        </w:rPr>
        <w:t>According to the WID, the objective for the first part of power domain enhancements is:</w:t>
      </w:r>
    </w:p>
    <w:tbl>
      <w:tblPr>
        <w:tblStyle w:val="af8"/>
        <w:tblW w:w="0" w:type="auto"/>
        <w:tblLook w:val="04A0" w:firstRow="1" w:lastRow="0" w:firstColumn="1" w:lastColumn="0" w:noHBand="0" w:noVBand="1"/>
      </w:tblPr>
      <w:tblGrid>
        <w:gridCol w:w="9631"/>
      </w:tblGrid>
      <w:tr w:rsidR="00CB474E" w14:paraId="542F2012" w14:textId="77777777" w:rsidTr="00CB474E">
        <w:tc>
          <w:tcPr>
            <w:tcW w:w="9631" w:type="dxa"/>
          </w:tcPr>
          <w:p w14:paraId="2E0DA9AE" w14:textId="77777777" w:rsidR="00CB474E" w:rsidRPr="007D0010" w:rsidRDefault="00CB474E" w:rsidP="00CB474E">
            <w:pPr>
              <w:pStyle w:val="aff6"/>
              <w:numPr>
                <w:ilvl w:val="0"/>
                <w:numId w:val="28"/>
              </w:numPr>
              <w:ind w:firstLineChars="0"/>
              <w:rPr>
                <w:rFonts w:ascii="Times New Roman" w:hAnsi="Times New Roman"/>
                <w:sz w:val="20"/>
                <w:lang w:eastAsia="en-US"/>
              </w:rPr>
            </w:pPr>
            <w:r w:rsidRPr="00CB474E">
              <w:rPr>
                <w:rFonts w:ascii="Times New Roman" w:hAnsi="Times New Roman"/>
                <w:iCs/>
                <w:sz w:val="20"/>
                <w:lang w:val="en-US"/>
              </w:rPr>
              <w:t xml:space="preserve">Enhancements to realize </w:t>
            </w:r>
            <w:r w:rsidRPr="00CB474E">
              <w:rPr>
                <w:rFonts w:ascii="Times New Roman" w:hAnsi="Times New Roman"/>
                <w:iCs/>
                <w:sz w:val="20"/>
                <w:lang w:val="en-US" w:eastAsia="zh-CN"/>
              </w:rPr>
              <w:t>i</w:t>
            </w:r>
            <w:r w:rsidRPr="00CB474E">
              <w:rPr>
                <w:rFonts w:ascii="Times New Roman" w:hAnsi="Times New Roman"/>
                <w:iCs/>
                <w:sz w:val="20"/>
                <w:lang w:val="en-US"/>
              </w:rPr>
              <w:t xml:space="preserve">ncreasing UE power high limit for CA and DC based on Rel-17 RAN4 work on “Increasing UE power high limit for CA and DC”, </w:t>
            </w:r>
            <w:r w:rsidRPr="00CB474E">
              <w:rPr>
                <w:rFonts w:ascii="Times New Roman" w:hAnsi="Times New Roman"/>
                <w:iCs/>
                <w:sz w:val="20"/>
                <w:lang w:val="en-US" w:eastAsia="zh-CN"/>
              </w:rPr>
              <w:t xml:space="preserve">in compliance with </w:t>
            </w:r>
            <w:r w:rsidRPr="00CB474E">
              <w:rPr>
                <w:rFonts w:ascii="Times New Roman" w:hAnsi="Times New Roman"/>
                <w:iCs/>
                <w:sz w:val="20"/>
                <w:lang w:val="en-US"/>
              </w:rPr>
              <w:t>relevant regulations</w:t>
            </w:r>
          </w:p>
          <w:p w14:paraId="13B65031" w14:textId="0487DBA0" w:rsidR="007D0010" w:rsidRPr="00CB474E" w:rsidRDefault="007D0010" w:rsidP="007D0010">
            <w:pPr>
              <w:pStyle w:val="aff6"/>
              <w:ind w:left="360" w:firstLineChars="0" w:firstLine="0"/>
              <w:rPr>
                <w:rFonts w:ascii="Times New Roman" w:hAnsi="Times New Roman"/>
                <w:sz w:val="20"/>
                <w:lang w:eastAsia="en-US"/>
              </w:rPr>
            </w:pPr>
          </w:p>
        </w:tc>
      </w:tr>
    </w:tbl>
    <w:p w14:paraId="46CB9749" w14:textId="2BD334F8" w:rsidR="00DB3158" w:rsidRDefault="00DB3158" w:rsidP="00C10E9B">
      <w:pPr>
        <w:jc w:val="both"/>
        <w:rPr>
          <w:lang w:eastAsia="en-US"/>
        </w:rPr>
      </w:pPr>
      <w:r>
        <w:rPr>
          <w:lang w:eastAsia="en-US"/>
        </w:rPr>
        <w:lastRenderedPageBreak/>
        <w:t>As the outcome of the related RAN4 Rel-17 discussion,</w:t>
      </w:r>
      <w:r w:rsidR="008B284F" w:rsidRPr="008B284F">
        <w:rPr>
          <w:lang w:eastAsia="en-US"/>
        </w:rPr>
        <w:t xml:space="preserve"> </w:t>
      </w:r>
      <w:r w:rsidR="008B284F">
        <w:rPr>
          <w:lang w:eastAsia="en-US"/>
        </w:rPr>
        <w:t>23dBm + 26dBm (26dBm + 26dBm has already been supported by PC1.5)</w:t>
      </w:r>
      <w:r>
        <w:rPr>
          <w:lang w:eastAsia="en-US"/>
        </w:rPr>
        <w:t xml:space="preserve"> </w:t>
      </w:r>
      <w:r w:rsidR="008B284F">
        <w:rPr>
          <w:lang w:eastAsia="en-US"/>
        </w:rPr>
        <w:t xml:space="preserve">has been enabled as another </w:t>
      </w:r>
      <w:r w:rsidR="00856BFE">
        <w:rPr>
          <w:lang w:eastAsia="en-US"/>
        </w:rPr>
        <w:t>UE high power limit for CA and DC. The details can be found in the agreed CR [2].</w:t>
      </w:r>
      <w:r w:rsidR="00F06835" w:rsidRPr="00F06835">
        <w:rPr>
          <w:lang w:eastAsia="en-US"/>
        </w:rPr>
        <w:t xml:space="preserve"> </w:t>
      </w:r>
      <w:r w:rsidR="00F06835">
        <w:rPr>
          <w:lang w:eastAsia="en-US"/>
        </w:rPr>
        <w:t>For a UE which could indicate [</w:t>
      </w:r>
      <w:proofErr w:type="spellStart"/>
      <w:r w:rsidR="00F06835">
        <w:rPr>
          <w:lang w:eastAsia="en-US"/>
        </w:rPr>
        <w:t>HigherPowerLimitCADC</w:t>
      </w:r>
      <w:proofErr w:type="spellEnd"/>
      <w:r w:rsidR="00F06835">
        <w:rPr>
          <w:lang w:eastAsia="en-US"/>
        </w:rPr>
        <w:t>] capability, it is allowed to report a different power class by [</w:t>
      </w:r>
      <w:proofErr w:type="spellStart"/>
      <w:r w:rsidR="00F06835">
        <w:rPr>
          <w:lang w:eastAsia="en-US"/>
        </w:rPr>
        <w:t>powerClassPerBand</w:t>
      </w:r>
      <w:proofErr w:type="spellEnd"/>
      <w:r w:rsidR="00F06835">
        <w:rPr>
          <w:lang w:eastAsia="en-US"/>
        </w:rPr>
        <w:t xml:space="preserve">] for a certain band under an eligible CA/DC band combination. Besides, the </w:t>
      </w:r>
      <w:proofErr w:type="spellStart"/>
      <w:r w:rsidR="00F06835" w:rsidRPr="00A1115A">
        <w:rPr>
          <w:lang w:bidi="bn-IN"/>
        </w:rPr>
        <w:t>P</w:t>
      </w:r>
      <w:r w:rsidR="00F06835" w:rsidRPr="00A1115A">
        <w:rPr>
          <w:vertAlign w:val="subscript"/>
          <w:lang w:bidi="bn-IN"/>
        </w:rPr>
        <w:t>PowerClass</w:t>
      </w:r>
      <w:proofErr w:type="gramStart"/>
      <w:r w:rsidR="00F06835">
        <w:rPr>
          <w:vertAlign w:val="subscript"/>
          <w:lang w:bidi="bn-IN"/>
        </w:rPr>
        <w:t>,CA</w:t>
      </w:r>
      <w:proofErr w:type="spellEnd"/>
      <w:proofErr w:type="gramEnd"/>
      <w:r w:rsidR="00F06835">
        <w:rPr>
          <w:vertAlign w:val="subscript"/>
          <w:lang w:bidi="bn-IN"/>
        </w:rPr>
        <w:t xml:space="preserve"> </w:t>
      </w:r>
      <w:r w:rsidR="00F06835">
        <w:t xml:space="preserve">for such type of UE is allowed to be replaced from the </w:t>
      </w:r>
      <w:r w:rsidR="00F06835" w:rsidRPr="00A1115A">
        <w:rPr>
          <w:lang w:bidi="bn-IN"/>
        </w:rPr>
        <w:t>maximum UE power specified in Table 6.2A.1.3-1 without taking into account the tolerance specified in the Table 6.2A.1.3-1</w:t>
      </w:r>
      <w:r w:rsidR="00F06835">
        <w:rPr>
          <w:lang w:bidi="bn-IN"/>
        </w:rPr>
        <w:t xml:space="preserve"> to the </w:t>
      </w:r>
      <w:r w:rsidR="00F06835" w:rsidRPr="00CE455B">
        <w:rPr>
          <w:lang w:bidi="bn-IN"/>
        </w:rPr>
        <w:t>10 log</w:t>
      </w:r>
      <w:r w:rsidR="00F06835" w:rsidRPr="00CE455B">
        <w:rPr>
          <w:vertAlign w:val="subscript"/>
          <w:lang w:bidi="bn-IN"/>
        </w:rPr>
        <w:t>10</w:t>
      </w:r>
      <w:r w:rsidR="00F06835" w:rsidRPr="00CE455B">
        <w:rPr>
          <w:lang w:bidi="bn-IN"/>
        </w:rPr>
        <w:t xml:space="preserve"> </w:t>
      </w:r>
      <w:r w:rsidR="00F06835" w:rsidRPr="00CE455B">
        <w:t xml:space="preserve">∑ </w:t>
      </w:r>
      <w:proofErr w:type="spellStart"/>
      <w:r w:rsidR="00F06835" w:rsidRPr="00CE455B">
        <w:t>p</w:t>
      </w:r>
      <w:r w:rsidR="00F06835" w:rsidRPr="00CE455B">
        <w:rPr>
          <w:vertAlign w:val="subscript"/>
        </w:rPr>
        <w:t>PowerClass,c</w:t>
      </w:r>
      <w:proofErr w:type="spellEnd"/>
      <w:r w:rsidR="00F06835">
        <w:rPr>
          <w:lang w:bidi="bn-IN"/>
        </w:rPr>
        <w:t xml:space="preserve">, where </w:t>
      </w:r>
      <w:proofErr w:type="spellStart"/>
      <w:r w:rsidR="00F06835" w:rsidRPr="00A74C68">
        <w:rPr>
          <w:lang w:bidi="bn-IN"/>
        </w:rPr>
        <w:t>p</w:t>
      </w:r>
      <w:r w:rsidR="00F06835" w:rsidRPr="00A74C68">
        <w:rPr>
          <w:vertAlign w:val="subscript"/>
          <w:lang w:bidi="bn-IN"/>
        </w:rPr>
        <w:t>PowerClass,c</w:t>
      </w:r>
      <w:proofErr w:type="spellEnd"/>
      <w:r w:rsidR="00F06835" w:rsidRPr="00A74C68">
        <w:rPr>
          <w:lang w:bidi="bn-IN"/>
        </w:rPr>
        <w:t xml:space="preserve"> is the linear value of the maximum UE power for serving cell </w:t>
      </w:r>
      <w:r w:rsidR="00F06835" w:rsidRPr="00A74C68">
        <w:rPr>
          <w:i/>
          <w:iCs/>
          <w:lang w:bidi="bn-IN"/>
        </w:rPr>
        <w:t>c</w:t>
      </w:r>
      <w:r w:rsidR="00F06835" w:rsidRPr="00A74C68">
        <w:rPr>
          <w:lang w:bidi="bn-IN"/>
        </w:rPr>
        <w:t xml:space="preserve"> specified in Table 6.2.1-1 </w:t>
      </w:r>
      <w:r w:rsidR="00F06835">
        <w:rPr>
          <w:lang w:bidi="bn-IN"/>
        </w:rPr>
        <w:t>according to [</w:t>
      </w:r>
      <w:proofErr w:type="spellStart"/>
      <w:r w:rsidR="00F06835">
        <w:rPr>
          <w:lang w:bidi="bn-IN"/>
        </w:rPr>
        <w:t>powerClassPerBand</w:t>
      </w:r>
      <w:proofErr w:type="spellEnd"/>
      <w:r w:rsidR="00F06835">
        <w:rPr>
          <w:lang w:bidi="bn-IN"/>
        </w:rPr>
        <w:t xml:space="preserve">] if indicated or </w:t>
      </w:r>
      <w:proofErr w:type="spellStart"/>
      <w:r w:rsidR="00F06835">
        <w:rPr>
          <w:lang w:bidi="bn-IN"/>
        </w:rPr>
        <w:t>ue-PowerClass</w:t>
      </w:r>
      <w:proofErr w:type="spellEnd"/>
      <w:r w:rsidR="00F06835">
        <w:rPr>
          <w:lang w:bidi="bn-IN"/>
        </w:rPr>
        <w:t xml:space="preserve"> otherwise </w:t>
      </w:r>
      <w:r w:rsidR="00F06835" w:rsidRPr="00A74C68">
        <w:rPr>
          <w:lang w:bidi="bn-IN"/>
        </w:rPr>
        <w:t>without taking into account the tolerance</w:t>
      </w:r>
      <w:r w:rsidR="00F06835">
        <w:rPr>
          <w:lang w:bidi="bn-IN"/>
        </w:rPr>
        <w:t>. In short, such UE is enabled to transmit a higher power according to the sum of the maximum power in each CC.</w:t>
      </w:r>
    </w:p>
    <w:p w14:paraId="5227D2EA" w14:textId="616382E6" w:rsidR="006A4B54" w:rsidRPr="006A4B54" w:rsidRDefault="006A4B54" w:rsidP="00BA02BF">
      <w:pPr>
        <w:jc w:val="both"/>
        <w:rPr>
          <w:b/>
          <w:i/>
        </w:rPr>
      </w:pPr>
      <w:r>
        <w:rPr>
          <w:b/>
          <w:i/>
        </w:rPr>
        <w:t>Observation: There seems no other aspect can be enhanced since RAN4 have finished the work on increasing UE power high limit for CA and DC in Rel-17.</w:t>
      </w:r>
    </w:p>
    <w:p w14:paraId="60A3D26D" w14:textId="41BA66D9" w:rsidR="00C10E9B" w:rsidRDefault="006A4B54" w:rsidP="00BA02BF">
      <w:pPr>
        <w:jc w:val="both"/>
        <w:rPr>
          <w:lang w:eastAsia="en-US"/>
        </w:rPr>
      </w:pPr>
      <w:r>
        <w:rPr>
          <w:lang w:eastAsia="en-US"/>
        </w:rPr>
        <w:t xml:space="preserve">Thus we think more clarification of this objective is expected. </w:t>
      </w:r>
    </w:p>
    <w:p w14:paraId="3A354FB1" w14:textId="6B9AF60A" w:rsidR="008E2633" w:rsidRDefault="008E2633" w:rsidP="008E2633">
      <w:pPr>
        <w:jc w:val="both"/>
        <w:rPr>
          <w:b/>
          <w:i/>
        </w:rPr>
      </w:pPr>
      <w:r>
        <w:rPr>
          <w:b/>
          <w:i/>
        </w:rPr>
        <w:t>Proposal 1: W</w:t>
      </w:r>
      <w:r w:rsidRPr="008E2633">
        <w:rPr>
          <w:b/>
          <w:i/>
        </w:rPr>
        <w:t xml:space="preserve">hat could be further enhanced </w:t>
      </w:r>
      <w:r w:rsidR="006A4B54" w:rsidRPr="006A4B54">
        <w:rPr>
          <w:b/>
          <w:i/>
          <w:iCs/>
          <w:lang w:val="en-US"/>
        </w:rPr>
        <w:t>to realize increasing UE power high limit for CA and DC based on Rel-17 RAN4 work on “Increasing UE power high limit for CA and DC”</w:t>
      </w:r>
      <w:r w:rsidR="006A4B54">
        <w:rPr>
          <w:b/>
          <w:i/>
          <w:iCs/>
          <w:lang w:val="en-US"/>
        </w:rPr>
        <w:t xml:space="preserve"> in Rel-18 should be clarified</w:t>
      </w:r>
      <w:r>
        <w:rPr>
          <w:b/>
          <w:i/>
        </w:rPr>
        <w:t xml:space="preserve">. </w:t>
      </w:r>
    </w:p>
    <w:p w14:paraId="1DEDBD81" w14:textId="02AC1060" w:rsidR="00F31D7D" w:rsidRDefault="00454B8A" w:rsidP="00F31D7D">
      <w:pPr>
        <w:pStyle w:val="2"/>
        <w:spacing w:after="240"/>
      </w:pPr>
      <w:r>
        <w:t>On the enhancements to reduce PAR/MPR</w:t>
      </w:r>
    </w:p>
    <w:p w14:paraId="7CCC5829" w14:textId="73577563" w:rsidR="007D0010" w:rsidRDefault="007D0010" w:rsidP="007D0010">
      <w:pPr>
        <w:rPr>
          <w:lang w:eastAsia="en-US"/>
        </w:rPr>
      </w:pPr>
      <w:r>
        <w:rPr>
          <w:lang w:eastAsia="en-US"/>
        </w:rPr>
        <w:t>According to the WID, the objective for the second part of power domain enhancements is:</w:t>
      </w:r>
    </w:p>
    <w:tbl>
      <w:tblPr>
        <w:tblStyle w:val="af8"/>
        <w:tblW w:w="0" w:type="auto"/>
        <w:tblLook w:val="04A0" w:firstRow="1" w:lastRow="0" w:firstColumn="1" w:lastColumn="0" w:noHBand="0" w:noVBand="1"/>
      </w:tblPr>
      <w:tblGrid>
        <w:gridCol w:w="9631"/>
      </w:tblGrid>
      <w:tr w:rsidR="007D0010" w:rsidRPr="007D0010" w14:paraId="501F20A5" w14:textId="77777777" w:rsidTr="007D0010">
        <w:tc>
          <w:tcPr>
            <w:tcW w:w="9631" w:type="dxa"/>
          </w:tcPr>
          <w:p w14:paraId="5D33416A" w14:textId="77777777" w:rsidR="007D0010" w:rsidRDefault="007D0010" w:rsidP="007D0010">
            <w:pPr>
              <w:pStyle w:val="aff6"/>
              <w:numPr>
                <w:ilvl w:val="0"/>
                <w:numId w:val="28"/>
              </w:numPr>
              <w:ind w:firstLineChars="0"/>
              <w:rPr>
                <w:rFonts w:ascii="Times New Roman" w:hAnsi="Times New Roman"/>
                <w:iCs/>
                <w:sz w:val="20"/>
                <w:lang w:val="en-US"/>
              </w:rPr>
            </w:pPr>
            <w:r w:rsidRPr="007D0010">
              <w:rPr>
                <w:rFonts w:ascii="Times New Roman" w:hAnsi="Times New Roman"/>
                <w:iCs/>
                <w:sz w:val="20"/>
                <w:lang w:val="en-US"/>
              </w:rPr>
              <w:t xml:space="preserve">Enhancements to reduce MPR/PAR, including </w:t>
            </w:r>
            <w:r w:rsidRPr="007D0010">
              <w:rPr>
                <w:rFonts w:ascii="Times New Roman" w:hAnsi="Times New Roman" w:hint="eastAsia"/>
                <w:iCs/>
                <w:sz w:val="20"/>
                <w:lang w:val="en-US"/>
              </w:rPr>
              <w:t xml:space="preserve">frequency domain </w:t>
            </w:r>
            <w:r w:rsidRPr="007D0010">
              <w:rPr>
                <w:rFonts w:ascii="Times New Roman" w:hAnsi="Times New Roman"/>
                <w:iCs/>
                <w:sz w:val="20"/>
                <w:lang w:val="en-US"/>
              </w:rPr>
              <w:t>spectrum shaping with and without spectrum extension for DFT-S-OFDM and tone reservation (RAN4, RAN1</w:t>
            </w:r>
            <w:r>
              <w:rPr>
                <w:rFonts w:ascii="Times New Roman" w:hAnsi="Times New Roman"/>
                <w:iCs/>
                <w:sz w:val="20"/>
                <w:lang w:val="en-US"/>
              </w:rPr>
              <w:t>)</w:t>
            </w:r>
          </w:p>
          <w:p w14:paraId="49334D09" w14:textId="3BD93A82" w:rsidR="007D0010" w:rsidRPr="007D0010" w:rsidRDefault="007D0010" w:rsidP="007D0010">
            <w:pPr>
              <w:pStyle w:val="aff6"/>
              <w:ind w:left="360" w:firstLineChars="0" w:firstLine="0"/>
              <w:rPr>
                <w:rFonts w:ascii="Times New Roman" w:hAnsi="Times New Roman"/>
                <w:iCs/>
                <w:sz w:val="20"/>
                <w:lang w:val="en-US"/>
              </w:rPr>
            </w:pPr>
          </w:p>
        </w:tc>
      </w:tr>
    </w:tbl>
    <w:p w14:paraId="7A6925B0" w14:textId="35DF6B56" w:rsidR="00FE56D4" w:rsidRDefault="007D0010" w:rsidP="002D78D5">
      <w:pPr>
        <w:jc w:val="both"/>
        <w:rPr>
          <w:iCs/>
          <w:kern w:val="2"/>
          <w:szCs w:val="22"/>
          <w:lang w:val="en-US" w:eastAsia="x-none"/>
        </w:rPr>
      </w:pPr>
      <w:r>
        <w:rPr>
          <w:iCs/>
          <w:kern w:val="2"/>
          <w:szCs w:val="22"/>
          <w:lang w:val="en-US" w:eastAsia="x-none"/>
        </w:rPr>
        <w:t xml:space="preserve">As we can see, two </w:t>
      </w:r>
      <w:r w:rsidR="00C917BF">
        <w:rPr>
          <w:iCs/>
          <w:kern w:val="2"/>
          <w:szCs w:val="22"/>
          <w:lang w:val="en-US" w:eastAsia="x-none"/>
        </w:rPr>
        <w:t>techniques</w:t>
      </w:r>
      <w:r>
        <w:rPr>
          <w:iCs/>
          <w:kern w:val="2"/>
          <w:szCs w:val="22"/>
          <w:lang w:val="en-US" w:eastAsia="x-none"/>
        </w:rPr>
        <w:t xml:space="preserve"> are mentioned for MPR/PAR reduction of DFT-s-OFDM signal:</w:t>
      </w:r>
    </w:p>
    <w:p w14:paraId="1BFD8C3C" w14:textId="61D8E7D1" w:rsidR="007D0010" w:rsidRPr="00A6687C" w:rsidRDefault="007D0010" w:rsidP="008D0BAD">
      <w:pPr>
        <w:pStyle w:val="aff6"/>
        <w:numPr>
          <w:ilvl w:val="0"/>
          <w:numId w:val="28"/>
        </w:numPr>
        <w:ind w:firstLineChars="0"/>
        <w:rPr>
          <w:rFonts w:ascii="Times New Roman" w:hAnsi="Times New Roman"/>
          <w:iCs/>
          <w:sz w:val="20"/>
          <w:lang w:val="en-US"/>
        </w:rPr>
      </w:pPr>
      <w:r w:rsidRPr="00A6687C">
        <w:rPr>
          <w:rFonts w:ascii="Times New Roman" w:hAnsi="Times New Roman"/>
          <w:iCs/>
          <w:sz w:val="20"/>
          <w:lang w:val="en-US"/>
        </w:rPr>
        <w:t>FDSS</w:t>
      </w:r>
      <w:r w:rsidR="008D0BAD" w:rsidRPr="00A6687C">
        <w:rPr>
          <w:rFonts w:ascii="Times New Roman" w:hAnsi="Times New Roman"/>
          <w:iCs/>
          <w:sz w:val="20"/>
          <w:lang w:val="en-US"/>
        </w:rPr>
        <w:t xml:space="preserve"> (frequency domain spectrum shaping)</w:t>
      </w:r>
    </w:p>
    <w:p w14:paraId="2DA1F3F8" w14:textId="4363ED21" w:rsidR="008D0BAD" w:rsidRPr="00A6687C" w:rsidRDefault="008D0BAD" w:rsidP="008D0BAD">
      <w:pPr>
        <w:pStyle w:val="aff6"/>
        <w:numPr>
          <w:ilvl w:val="1"/>
          <w:numId w:val="28"/>
        </w:numPr>
        <w:ind w:firstLineChars="0"/>
        <w:rPr>
          <w:rFonts w:ascii="Times New Roman" w:hAnsi="Times New Roman"/>
          <w:iCs/>
          <w:sz w:val="20"/>
          <w:lang w:val="en-US"/>
        </w:rPr>
      </w:pPr>
      <w:r w:rsidRPr="00A6687C">
        <w:rPr>
          <w:rFonts w:ascii="Times New Roman" w:hAnsi="Times New Roman"/>
          <w:iCs/>
          <w:sz w:val="20"/>
          <w:lang w:val="en-US"/>
        </w:rPr>
        <w:t>With spectrum extension</w:t>
      </w:r>
    </w:p>
    <w:p w14:paraId="649FCB85" w14:textId="0D1AEFB6" w:rsidR="008D0BAD" w:rsidRPr="00A6687C" w:rsidRDefault="008D0BAD" w:rsidP="007D0010">
      <w:pPr>
        <w:pStyle w:val="aff6"/>
        <w:numPr>
          <w:ilvl w:val="1"/>
          <w:numId w:val="28"/>
        </w:numPr>
        <w:ind w:firstLineChars="0"/>
        <w:rPr>
          <w:rFonts w:ascii="Times New Roman" w:hAnsi="Times New Roman"/>
          <w:iCs/>
          <w:sz w:val="20"/>
          <w:lang w:val="en-US"/>
        </w:rPr>
      </w:pPr>
      <w:r w:rsidRPr="00A6687C">
        <w:rPr>
          <w:rFonts w:ascii="Times New Roman" w:hAnsi="Times New Roman"/>
          <w:iCs/>
          <w:sz w:val="20"/>
          <w:lang w:val="en-US"/>
        </w:rPr>
        <w:t>Without spectrum extension</w:t>
      </w:r>
    </w:p>
    <w:p w14:paraId="62EE9D5E" w14:textId="318520AD" w:rsidR="007D0010" w:rsidRPr="00A6687C" w:rsidRDefault="00A6687C" w:rsidP="00A6687C">
      <w:pPr>
        <w:pStyle w:val="aff6"/>
        <w:numPr>
          <w:ilvl w:val="0"/>
          <w:numId w:val="28"/>
        </w:numPr>
        <w:ind w:firstLineChars="0"/>
        <w:rPr>
          <w:rFonts w:ascii="Times New Roman" w:hAnsi="Times New Roman"/>
          <w:iCs/>
          <w:sz w:val="20"/>
          <w:lang w:val="en-US"/>
        </w:rPr>
      </w:pPr>
      <w:r>
        <w:rPr>
          <w:rFonts w:ascii="Times New Roman" w:hAnsi="Times New Roman"/>
          <w:iCs/>
          <w:sz w:val="20"/>
          <w:lang w:val="en-US"/>
        </w:rPr>
        <w:t>TR</w:t>
      </w:r>
      <w:r w:rsidR="008D0BAD" w:rsidRPr="00A6687C">
        <w:rPr>
          <w:rFonts w:ascii="Times New Roman" w:hAnsi="Times New Roman"/>
          <w:iCs/>
          <w:sz w:val="20"/>
          <w:lang w:val="en-US"/>
        </w:rPr>
        <w:t xml:space="preserve"> (</w:t>
      </w:r>
      <w:r>
        <w:rPr>
          <w:rFonts w:ascii="Times New Roman" w:hAnsi="Times New Roman"/>
          <w:iCs/>
          <w:sz w:val="20"/>
          <w:lang w:val="en-US"/>
        </w:rPr>
        <w:t>tone reservation</w:t>
      </w:r>
      <w:r w:rsidR="008D0BAD" w:rsidRPr="00A6687C">
        <w:rPr>
          <w:rFonts w:ascii="Times New Roman" w:hAnsi="Times New Roman"/>
          <w:iCs/>
          <w:sz w:val="20"/>
          <w:lang w:val="en-US"/>
        </w:rPr>
        <w:t>)</w:t>
      </w:r>
    </w:p>
    <w:p w14:paraId="778DF6B8" w14:textId="77777777" w:rsidR="00CF39C4" w:rsidRPr="00C75BD3" w:rsidRDefault="00CF39C4" w:rsidP="00CF39C4">
      <w:pPr>
        <w:jc w:val="both"/>
        <w:rPr>
          <w:i/>
          <w:sz w:val="22"/>
          <w:u w:val="single"/>
        </w:rPr>
      </w:pPr>
      <w:r w:rsidRPr="00C75BD3">
        <w:rPr>
          <w:b/>
          <w:i/>
          <w:sz w:val="24"/>
          <w:u w:val="single"/>
        </w:rPr>
        <w:t>FDSS w/wo spectrum extension</w:t>
      </w:r>
    </w:p>
    <w:p w14:paraId="0CA1D1D3" w14:textId="77777777" w:rsidR="00D20BD5" w:rsidRDefault="00D50FB8" w:rsidP="00D50FB8">
      <w:pPr>
        <w:jc w:val="both"/>
      </w:pPr>
      <w:r>
        <w:t>Regarding the FDSS with/without spectrum extension, the following diagram for transmitter can be used for better explanation.</w:t>
      </w:r>
      <w:r w:rsidRPr="009A5FBB">
        <w:t xml:space="preserve"> </w:t>
      </w:r>
    </w:p>
    <w:p w14:paraId="0ED4240B" w14:textId="77777777" w:rsidR="00D20BD5" w:rsidRDefault="00D20BD5" w:rsidP="00D20BD5">
      <w:pPr>
        <w:jc w:val="center"/>
      </w:pPr>
      <w:r>
        <w:rPr>
          <w:noProof/>
          <w:lang w:val="en-US"/>
        </w:rPr>
        <w:drawing>
          <wp:inline distT="0" distB="0" distL="0" distR="0" wp14:anchorId="314D7A02" wp14:editId="044E6649">
            <wp:extent cx="4238643" cy="625179"/>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62921" cy="628760"/>
                    </a:xfrm>
                    <a:prstGeom prst="rect">
                      <a:avLst/>
                    </a:prstGeom>
                  </pic:spPr>
                </pic:pic>
              </a:graphicData>
            </a:graphic>
          </wp:inline>
        </w:drawing>
      </w:r>
    </w:p>
    <w:p w14:paraId="5D7B6023" w14:textId="4EB6C3E7" w:rsidR="00D20BD5" w:rsidRPr="00D20BD5" w:rsidRDefault="00D20BD5" w:rsidP="00D20BD5">
      <w:pPr>
        <w:jc w:val="center"/>
        <w:rPr>
          <w:b/>
          <w:sz w:val="22"/>
        </w:rPr>
      </w:pPr>
      <w:r w:rsidRPr="00DF0E27">
        <w:rPr>
          <w:b/>
          <w:sz w:val="22"/>
        </w:rPr>
        <w:t>Fig</w:t>
      </w:r>
      <w:r>
        <w:rPr>
          <w:b/>
          <w:sz w:val="22"/>
        </w:rPr>
        <w:t>ure 1.</w:t>
      </w:r>
      <w:r w:rsidRPr="0050772B">
        <w:rPr>
          <w:b/>
          <w:sz w:val="22"/>
        </w:rPr>
        <w:t xml:space="preserve"> </w:t>
      </w:r>
      <w:r>
        <w:rPr>
          <w:b/>
          <w:sz w:val="22"/>
        </w:rPr>
        <w:t>FDSS w/wo SE’s potential impact to transmitter</w:t>
      </w:r>
    </w:p>
    <w:p w14:paraId="3A00B6D6" w14:textId="272BBD8F" w:rsidR="00331F28" w:rsidRDefault="00D50FB8" w:rsidP="00331F28">
      <w:pPr>
        <w:jc w:val="both"/>
      </w:pPr>
      <w:r>
        <w:t xml:space="preserve">From our understanding, spectrum shaping might not be a brand new thing since it has been studied for pi/2-BPSK. </w:t>
      </w:r>
      <w:r w:rsidR="00331F28">
        <w:t xml:space="preserve"> Recall the RAN4 related discussion in Rel-17, </w:t>
      </w:r>
      <w:r w:rsidR="002E1124">
        <w:t>s</w:t>
      </w:r>
      <w:r w:rsidR="00331F28">
        <w:t>ome agreements can be found as recorded in the latest status report [3]:</w:t>
      </w:r>
    </w:p>
    <w:tbl>
      <w:tblPr>
        <w:tblStyle w:val="af8"/>
        <w:tblW w:w="0" w:type="auto"/>
        <w:tblLook w:val="04A0" w:firstRow="1" w:lastRow="0" w:firstColumn="1" w:lastColumn="0" w:noHBand="0" w:noVBand="1"/>
      </w:tblPr>
      <w:tblGrid>
        <w:gridCol w:w="9631"/>
      </w:tblGrid>
      <w:tr w:rsidR="00331F28" w14:paraId="3CC241AC" w14:textId="77777777" w:rsidTr="00F145E8">
        <w:tc>
          <w:tcPr>
            <w:tcW w:w="9631" w:type="dxa"/>
          </w:tcPr>
          <w:p w14:paraId="4872F9B2" w14:textId="77777777" w:rsidR="00331F28" w:rsidRPr="000537B3" w:rsidRDefault="00331F28" w:rsidP="00F145E8">
            <w:r w:rsidRPr="000537B3">
              <w:t>The main agreements from this SI are as follows:</w:t>
            </w:r>
          </w:p>
          <w:p w14:paraId="7DE20637" w14:textId="77777777" w:rsidR="00331F28" w:rsidRPr="003E0880" w:rsidRDefault="00331F28" w:rsidP="00F145E8">
            <w:pPr>
              <w:pStyle w:val="aff6"/>
              <w:numPr>
                <w:ilvl w:val="0"/>
                <w:numId w:val="31"/>
              </w:numPr>
              <w:spacing w:line="256" w:lineRule="auto"/>
              <w:ind w:firstLineChars="0"/>
              <w:rPr>
                <w:rFonts w:ascii="Times New Roman" w:hAnsi="Times New Roman"/>
                <w:kern w:val="0"/>
                <w:sz w:val="20"/>
                <w:szCs w:val="20"/>
                <w:lang w:val="en-GB" w:eastAsia="zh-CN"/>
              </w:rPr>
            </w:pPr>
            <w:r w:rsidRPr="000537B3">
              <w:rPr>
                <w:rFonts w:ascii="Times New Roman" w:hAnsi="Times New Roman"/>
                <w:kern w:val="0"/>
                <w:sz w:val="20"/>
                <w:szCs w:val="20"/>
                <w:lang w:val="en-GB" w:eastAsia="zh-CN"/>
              </w:rPr>
              <w:t>For PC2 power boosting above MPR0 it was agreed that for 1Tx PC2 PAs, MRP relative to 29dBm should be less than or equal to 2dB. This MPR is limited to a certain set of RB allocations.</w:t>
            </w:r>
          </w:p>
          <w:p w14:paraId="6315630A" w14:textId="77777777" w:rsidR="00331F28" w:rsidRPr="003E0880" w:rsidRDefault="00331F28" w:rsidP="00F145E8">
            <w:pPr>
              <w:pStyle w:val="aff6"/>
              <w:numPr>
                <w:ilvl w:val="0"/>
                <w:numId w:val="31"/>
              </w:numPr>
              <w:spacing w:line="256" w:lineRule="auto"/>
              <w:ind w:firstLineChars="0"/>
              <w:rPr>
                <w:rFonts w:ascii="Times New Roman" w:hAnsi="Times New Roman"/>
                <w:kern w:val="0"/>
                <w:sz w:val="20"/>
                <w:szCs w:val="20"/>
                <w:lang w:val="en-GB" w:eastAsia="zh-CN"/>
              </w:rPr>
            </w:pPr>
            <w:r w:rsidRPr="000537B3">
              <w:rPr>
                <w:rFonts w:ascii="Times New Roman" w:hAnsi="Times New Roman"/>
                <w:kern w:val="0"/>
                <w:sz w:val="20"/>
                <w:szCs w:val="20"/>
                <w:lang w:val="en-GB" w:eastAsia="zh-CN"/>
              </w:rPr>
              <w:t>To guarantee SAR compliance and to reduce strain on the PA it was agreed that for a 1dB power boost above PC2 the UL duty cycle would be limited to a maximum value of 25%.</w:t>
            </w:r>
          </w:p>
          <w:p w14:paraId="46856899" w14:textId="77777777" w:rsidR="00331F28" w:rsidRPr="003E0880" w:rsidRDefault="00331F28" w:rsidP="00F145E8">
            <w:pPr>
              <w:pStyle w:val="aff6"/>
              <w:numPr>
                <w:ilvl w:val="0"/>
                <w:numId w:val="31"/>
              </w:numPr>
              <w:spacing w:line="256" w:lineRule="auto"/>
              <w:ind w:firstLineChars="0"/>
              <w:rPr>
                <w:rFonts w:ascii="Times New Roman" w:hAnsi="Times New Roman"/>
                <w:kern w:val="0"/>
                <w:sz w:val="20"/>
                <w:szCs w:val="20"/>
                <w:lang w:val="en-GB" w:eastAsia="zh-CN"/>
              </w:rPr>
            </w:pPr>
            <w:r w:rsidRPr="000537B3">
              <w:rPr>
                <w:rFonts w:ascii="Times New Roman" w:hAnsi="Times New Roman"/>
                <w:kern w:val="0"/>
                <w:sz w:val="20"/>
                <w:szCs w:val="20"/>
                <w:lang w:val="en-GB" w:eastAsia="zh-CN"/>
              </w:rPr>
              <w:t>Maintain spectral flatness specifications established in Rel-16</w:t>
            </w:r>
            <w:r>
              <w:rPr>
                <w:rFonts w:ascii="Times New Roman" w:hAnsi="Times New Roman"/>
                <w:kern w:val="0"/>
                <w:sz w:val="20"/>
                <w:szCs w:val="20"/>
                <w:lang w:val="en-GB" w:eastAsia="zh-CN"/>
              </w:rPr>
              <w:t>.</w:t>
            </w:r>
          </w:p>
          <w:p w14:paraId="070A99FD" w14:textId="77777777" w:rsidR="00331F28" w:rsidRPr="00E275BB" w:rsidRDefault="00331F28" w:rsidP="00F145E8">
            <w:pPr>
              <w:pStyle w:val="aff6"/>
              <w:numPr>
                <w:ilvl w:val="0"/>
                <w:numId w:val="31"/>
              </w:numPr>
              <w:spacing w:line="256" w:lineRule="auto"/>
              <w:ind w:firstLineChars="0"/>
              <w:rPr>
                <w:rFonts w:ascii="Arial" w:hAnsi="Arial" w:cs="Arial"/>
              </w:rPr>
            </w:pPr>
            <w:r w:rsidRPr="000537B3">
              <w:rPr>
                <w:rFonts w:ascii="Times New Roman" w:hAnsi="Times New Roman"/>
                <w:kern w:val="0"/>
                <w:sz w:val="20"/>
                <w:szCs w:val="20"/>
                <w:shd w:val="clear" w:color="auto" w:fill="FFFF00"/>
                <w:lang w:val="en-GB" w:eastAsia="zh-CN"/>
              </w:rPr>
              <w:t>Both data and DMRS would be filtered, and that the choice of filter is up to UE implementation and transparent to the network as it was in Rel-16</w:t>
            </w:r>
            <w:r>
              <w:rPr>
                <w:rFonts w:ascii="Times New Roman" w:hAnsi="Times New Roman"/>
                <w:kern w:val="0"/>
                <w:sz w:val="20"/>
                <w:szCs w:val="20"/>
                <w:shd w:val="clear" w:color="auto" w:fill="FFFF00"/>
                <w:lang w:val="en-GB" w:eastAsia="zh-CN"/>
              </w:rPr>
              <w:t>.</w:t>
            </w:r>
          </w:p>
        </w:tc>
      </w:tr>
    </w:tbl>
    <w:p w14:paraId="61D9F904" w14:textId="117FC2CC" w:rsidR="002E1124" w:rsidRDefault="002E1124" w:rsidP="002E1124">
      <w:pPr>
        <w:jc w:val="both"/>
      </w:pPr>
      <w:r>
        <w:t>As we can observe, both data and DMRS would be filtered. In this regard, the actual power boosting gain can be ob</w:t>
      </w:r>
      <w:r w:rsidR="00F768E5">
        <w:t xml:space="preserve">tained. </w:t>
      </w:r>
      <w:r>
        <w:t>As for Rel-18, we think this should still be</w:t>
      </w:r>
      <w:r w:rsidR="00F768E5">
        <w:t xml:space="preserve"> taken into consideration for</w:t>
      </w:r>
      <w:r>
        <w:t xml:space="preserve"> the</w:t>
      </w:r>
      <w:r w:rsidR="00F768E5">
        <w:t xml:space="preserve"> future RAN4</w:t>
      </w:r>
      <w:r>
        <w:t xml:space="preserve"> evaluation.</w:t>
      </w:r>
    </w:p>
    <w:p w14:paraId="557A8DA5" w14:textId="77777777" w:rsidR="007274E1" w:rsidRDefault="002E1124" w:rsidP="002E1124">
      <w:pPr>
        <w:jc w:val="both"/>
        <w:rPr>
          <w:b/>
          <w:i/>
        </w:rPr>
      </w:pPr>
      <w:r>
        <w:rPr>
          <w:b/>
          <w:i/>
        </w:rPr>
        <w:t xml:space="preserve">Proposal 2: </w:t>
      </w:r>
      <w:r w:rsidR="007274E1">
        <w:rPr>
          <w:b/>
          <w:i/>
        </w:rPr>
        <w:t>The following agreement in</w:t>
      </w:r>
      <w:r w:rsidR="00AC4738">
        <w:rPr>
          <w:b/>
          <w:i/>
        </w:rPr>
        <w:t xml:space="preserve"> Rel-17 pi/2-BPSK SI</w:t>
      </w:r>
      <w:r w:rsidR="007274E1">
        <w:rPr>
          <w:b/>
          <w:i/>
        </w:rPr>
        <w:t xml:space="preserve"> should be inherited for the evaluation in this Rel-18 WI:</w:t>
      </w:r>
    </w:p>
    <w:p w14:paraId="22DFA906" w14:textId="1FE1A9D9" w:rsidR="007274E1" w:rsidRPr="007274E1" w:rsidRDefault="007274E1" w:rsidP="007274E1">
      <w:pPr>
        <w:pStyle w:val="aff6"/>
        <w:numPr>
          <w:ilvl w:val="0"/>
          <w:numId w:val="3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B</w:t>
      </w:r>
      <w:r w:rsidRPr="007274E1">
        <w:rPr>
          <w:rFonts w:ascii="Times New Roman" w:hAnsi="Times New Roman"/>
          <w:b/>
          <w:i/>
          <w:kern w:val="0"/>
          <w:sz w:val="20"/>
          <w:szCs w:val="20"/>
          <w:lang w:val="en-GB" w:eastAsia="zh-CN"/>
        </w:rPr>
        <w:t>oth data and DMRS would be filtered</w:t>
      </w:r>
      <w:r>
        <w:rPr>
          <w:rFonts w:ascii="Times New Roman" w:hAnsi="Times New Roman"/>
          <w:b/>
          <w:i/>
          <w:kern w:val="0"/>
          <w:sz w:val="20"/>
          <w:szCs w:val="20"/>
          <w:lang w:val="en-GB" w:eastAsia="zh-CN"/>
        </w:rPr>
        <w:t>.</w:t>
      </w:r>
    </w:p>
    <w:p w14:paraId="4835956E" w14:textId="241D868B" w:rsidR="007274E1" w:rsidRDefault="00F768E5" w:rsidP="002E1124">
      <w:pPr>
        <w:jc w:val="both"/>
        <w:rPr>
          <w:b/>
          <w:i/>
        </w:rPr>
      </w:pPr>
      <w:r>
        <w:lastRenderedPageBreak/>
        <w:t xml:space="preserve">Another important thing is that the </w:t>
      </w:r>
      <w:r w:rsidRPr="00F768E5">
        <w:t>choice of filter is up to UE implementation and transparent to the network</w:t>
      </w:r>
      <w:r>
        <w:t>. This should also be considered in Rel-18 since it will minimize the impact to the UE/BS implementation.</w:t>
      </w:r>
    </w:p>
    <w:p w14:paraId="5E4AECCE" w14:textId="14CE87EE" w:rsidR="00F768E5" w:rsidRDefault="00F768E5" w:rsidP="002E1124">
      <w:pPr>
        <w:jc w:val="both"/>
        <w:rPr>
          <w:b/>
          <w:i/>
        </w:rPr>
      </w:pPr>
      <w:r>
        <w:rPr>
          <w:b/>
          <w:i/>
        </w:rPr>
        <w:t xml:space="preserve">Proposal 3: The Rel-18 FDSS mechanism should still be up to UE implementation and </w:t>
      </w:r>
      <w:r w:rsidRPr="00F768E5">
        <w:rPr>
          <w:b/>
          <w:i/>
        </w:rPr>
        <w:t>transparent to the network</w:t>
      </w:r>
      <w:r>
        <w:rPr>
          <w:b/>
          <w:i/>
        </w:rPr>
        <w:t xml:space="preserve">, in order to minimize the impact to both UE and BS implementation. </w:t>
      </w:r>
    </w:p>
    <w:p w14:paraId="0FAF98D9" w14:textId="6D7DAC6A" w:rsidR="00D50FB8" w:rsidRDefault="00D50FB8" w:rsidP="00D50FB8">
      <w:pPr>
        <w:jc w:val="both"/>
      </w:pPr>
      <w:r>
        <w:t xml:space="preserve">As for the receiver in Figure 2, situation could be different depends on the algorithm design. For example, if the spectrum extension will be applied at transmitter and the pattern can be known by receiver, then extended part can be used for </w:t>
      </w:r>
      <w:r w:rsidR="004428DC">
        <w:t xml:space="preserve">some sort of combination operation </w:t>
      </w:r>
      <w:r>
        <w:t xml:space="preserve">with the corresponding data for better performance. </w:t>
      </w:r>
      <w:r w:rsidR="004428DC">
        <w:t>Or</w:t>
      </w:r>
      <w:r>
        <w:t xml:space="preserve"> the extended part could be directly dropped, which could be the </w:t>
      </w:r>
      <w:r w:rsidR="004428DC">
        <w:t xml:space="preserve">most straight forward </w:t>
      </w:r>
      <w:r>
        <w:t xml:space="preserve">implementation.  </w:t>
      </w:r>
    </w:p>
    <w:p w14:paraId="5E876D9C" w14:textId="77777777" w:rsidR="00D50FB8" w:rsidRDefault="00D50FB8" w:rsidP="00D50FB8">
      <w:pPr>
        <w:jc w:val="center"/>
      </w:pPr>
      <w:r>
        <w:rPr>
          <w:noProof/>
          <w:lang w:val="en-US"/>
        </w:rPr>
        <w:drawing>
          <wp:inline distT="0" distB="0" distL="0" distR="0" wp14:anchorId="0D898983" wp14:editId="706D2A8C">
            <wp:extent cx="4620781" cy="78458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98577" cy="814778"/>
                    </a:xfrm>
                    <a:prstGeom prst="rect">
                      <a:avLst/>
                    </a:prstGeom>
                  </pic:spPr>
                </pic:pic>
              </a:graphicData>
            </a:graphic>
          </wp:inline>
        </w:drawing>
      </w:r>
    </w:p>
    <w:p w14:paraId="0C84DD08" w14:textId="77777777" w:rsidR="00D50FB8" w:rsidRDefault="00D50FB8" w:rsidP="00D50FB8">
      <w:pPr>
        <w:jc w:val="center"/>
      </w:pPr>
      <w:r w:rsidRPr="00DF0E27">
        <w:rPr>
          <w:b/>
          <w:sz w:val="22"/>
        </w:rPr>
        <w:t>Fig</w:t>
      </w:r>
      <w:r>
        <w:rPr>
          <w:b/>
          <w:sz w:val="22"/>
        </w:rPr>
        <w:t>ure 2.</w:t>
      </w:r>
      <w:r w:rsidRPr="00DF0E27">
        <w:rPr>
          <w:b/>
          <w:sz w:val="22"/>
        </w:rPr>
        <w:t xml:space="preserve"> </w:t>
      </w:r>
      <w:r>
        <w:rPr>
          <w:b/>
          <w:sz w:val="22"/>
        </w:rPr>
        <w:t>FDSS w/wo SE’s potential impact to receiver</w:t>
      </w:r>
    </w:p>
    <w:p w14:paraId="1E9DD20D" w14:textId="7FD2F552" w:rsidR="000E04AB" w:rsidRDefault="000E04AB" w:rsidP="000E04AB">
      <w:pPr>
        <w:jc w:val="both"/>
      </w:pPr>
      <w:r>
        <w:t>Anyway f</w:t>
      </w:r>
      <w:r w:rsidRPr="00BC45F2">
        <w:t xml:space="preserve">rom RAN4 perspective, </w:t>
      </w:r>
      <w:r>
        <w:t>we think RAN4</w:t>
      </w:r>
      <w:r w:rsidR="00A5429A">
        <w:t xml:space="preserve"> evaluation</w:t>
      </w:r>
      <w:r>
        <w:t xml:space="preserve"> should not be triggered until RAN1 can converge and provide enough inputs about the FDSS w/wo SE and TR.</w:t>
      </w:r>
    </w:p>
    <w:p w14:paraId="22D28A17" w14:textId="7C97A809" w:rsidR="00C95CB8" w:rsidRPr="00C95CB8" w:rsidRDefault="00A5429A" w:rsidP="002D78D5">
      <w:pPr>
        <w:jc w:val="both"/>
        <w:rPr>
          <w:iCs/>
        </w:rPr>
      </w:pPr>
      <w:r>
        <w:rPr>
          <w:b/>
          <w:i/>
        </w:rPr>
        <w:t xml:space="preserve">Proposal 4: </w:t>
      </w:r>
      <w:r w:rsidR="00C95CB8" w:rsidRPr="00C95CB8">
        <w:rPr>
          <w:b/>
          <w:i/>
        </w:rPr>
        <w:t>RAN4 evaluation should not be triggered until RAN1 can converge and provide enough inputs about the</w:t>
      </w:r>
      <w:r w:rsidR="00C95CB8">
        <w:rPr>
          <w:b/>
          <w:i/>
        </w:rPr>
        <w:t xml:space="preserve"> FDSS w/wo SE and TR for DFT-s-OFDM</w:t>
      </w:r>
      <w:r w:rsidR="00C95CB8" w:rsidRPr="00C95CB8">
        <w:rPr>
          <w:b/>
          <w:i/>
        </w:rPr>
        <w:t>.</w:t>
      </w:r>
      <w:r w:rsidR="00E62F76">
        <w:t xml:space="preserve"> </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43F3FD8F" w:rsidR="00AB1467" w:rsidRDefault="00AB1467" w:rsidP="00AA2D97">
      <w:pPr>
        <w:jc w:val="both"/>
        <w:rPr>
          <w:b/>
          <w:i/>
          <w:lang w:val="en-US"/>
        </w:rPr>
      </w:pPr>
      <w:r w:rsidRPr="00086BFD">
        <w:t>In this contribution we discussed</w:t>
      </w:r>
      <w:r>
        <w:rPr>
          <w:rFonts w:hint="eastAsia"/>
        </w:rPr>
        <w:t xml:space="preserve"> </w:t>
      </w:r>
      <w:r w:rsidRPr="00086BFD">
        <w:t>on the</w:t>
      </w:r>
      <w:r w:rsidR="00B27CF3">
        <w:t xml:space="preserve"> Rel-18</w:t>
      </w:r>
      <w:r>
        <w:t xml:space="preserve"> </w:t>
      </w:r>
      <w:r w:rsidR="00B27CF3" w:rsidRPr="00B27CF3">
        <w:t>further enhancement for NR UL coverage</w:t>
      </w:r>
      <w:r w:rsidRPr="00086BFD">
        <w:t xml:space="preserve">, we have the following </w:t>
      </w:r>
      <w:r w:rsidR="00FB341C">
        <w:t xml:space="preserve">observation and </w:t>
      </w:r>
      <w:r w:rsidRPr="00086BFD">
        <w:t>proposal</w:t>
      </w:r>
      <w:r>
        <w:rPr>
          <w:rFonts w:hint="eastAsia"/>
        </w:rPr>
        <w:t>s</w:t>
      </w:r>
      <w:r w:rsidRPr="00086BFD">
        <w:t>:</w:t>
      </w:r>
      <w:r w:rsidRPr="00671A68">
        <w:rPr>
          <w:rFonts w:hint="eastAsia"/>
          <w:b/>
          <w:i/>
          <w:lang w:val="en-US"/>
        </w:rPr>
        <w:t xml:space="preserve"> </w:t>
      </w:r>
    </w:p>
    <w:p w14:paraId="42DF3A20" w14:textId="643DBB86" w:rsidR="00CF39C4" w:rsidRDefault="002D26BB" w:rsidP="006045AC">
      <w:pPr>
        <w:jc w:val="both"/>
        <w:rPr>
          <w:b/>
          <w:i/>
        </w:rPr>
      </w:pPr>
      <w:r>
        <w:rPr>
          <w:b/>
          <w:i/>
        </w:rPr>
        <w:t>Observation: There seems no other aspect can be enhanced since RAN4 have finished the work on increasing UE power high limit for CA and DC in Rel-17</w:t>
      </w:r>
      <w:r w:rsidR="000C2877" w:rsidRPr="008C418C">
        <w:rPr>
          <w:b/>
          <w:i/>
        </w:rPr>
        <w:t>.</w:t>
      </w:r>
    </w:p>
    <w:p w14:paraId="66DA01FE" w14:textId="6A29890E" w:rsidR="00CA4608" w:rsidRDefault="002D26BB" w:rsidP="006045AC">
      <w:pPr>
        <w:jc w:val="both"/>
        <w:rPr>
          <w:b/>
          <w:i/>
        </w:rPr>
      </w:pPr>
      <w:r>
        <w:rPr>
          <w:b/>
          <w:i/>
        </w:rPr>
        <w:t>Proposal 1: W</w:t>
      </w:r>
      <w:r w:rsidRPr="008E2633">
        <w:rPr>
          <w:b/>
          <w:i/>
        </w:rPr>
        <w:t xml:space="preserve">hat could be further enhanced </w:t>
      </w:r>
      <w:r w:rsidRPr="006A4B54">
        <w:rPr>
          <w:b/>
          <w:i/>
          <w:iCs/>
          <w:lang w:val="en-US"/>
        </w:rPr>
        <w:t>to realize increasing UE power high limit for CA and DC based on Rel-17 RAN4 work on “Increasing UE power high limit for CA and DC”</w:t>
      </w:r>
      <w:r>
        <w:rPr>
          <w:b/>
          <w:i/>
          <w:iCs/>
          <w:lang w:val="en-US"/>
        </w:rPr>
        <w:t xml:space="preserve"> in Rel-18 should be clarified</w:t>
      </w:r>
      <w:r w:rsidR="008416A1">
        <w:rPr>
          <w:b/>
          <w:i/>
        </w:rPr>
        <w:t>.</w:t>
      </w:r>
    </w:p>
    <w:p w14:paraId="691BCADF" w14:textId="77777777" w:rsidR="00C95CB8" w:rsidRDefault="00C95CB8" w:rsidP="00C95CB8">
      <w:pPr>
        <w:jc w:val="both"/>
        <w:rPr>
          <w:b/>
          <w:i/>
        </w:rPr>
      </w:pPr>
      <w:r>
        <w:rPr>
          <w:b/>
          <w:i/>
        </w:rPr>
        <w:t>Proposal 2: The following agreement in Rel-17 pi/2-BPSK SI should be inherited for the evaluation in this Rel-18 WI:</w:t>
      </w:r>
    </w:p>
    <w:p w14:paraId="6A42B250" w14:textId="77777777" w:rsidR="00C95CB8" w:rsidRPr="007274E1" w:rsidRDefault="00C95CB8" w:rsidP="00C95CB8">
      <w:pPr>
        <w:pStyle w:val="aff6"/>
        <w:numPr>
          <w:ilvl w:val="0"/>
          <w:numId w:val="3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B</w:t>
      </w:r>
      <w:r w:rsidRPr="007274E1">
        <w:rPr>
          <w:rFonts w:ascii="Times New Roman" w:hAnsi="Times New Roman"/>
          <w:b/>
          <w:i/>
          <w:kern w:val="0"/>
          <w:sz w:val="20"/>
          <w:szCs w:val="20"/>
          <w:lang w:val="en-GB" w:eastAsia="zh-CN"/>
        </w:rPr>
        <w:t>oth data and DMRS would be filtered</w:t>
      </w:r>
      <w:r>
        <w:rPr>
          <w:rFonts w:ascii="Times New Roman" w:hAnsi="Times New Roman"/>
          <w:b/>
          <w:i/>
          <w:kern w:val="0"/>
          <w:sz w:val="20"/>
          <w:szCs w:val="20"/>
          <w:lang w:val="en-GB" w:eastAsia="zh-CN"/>
        </w:rPr>
        <w:t>.</w:t>
      </w:r>
    </w:p>
    <w:p w14:paraId="0755293D" w14:textId="321EBCE2" w:rsidR="00C95CB8" w:rsidRDefault="00C95CB8" w:rsidP="006045AC">
      <w:pPr>
        <w:jc w:val="both"/>
        <w:rPr>
          <w:b/>
          <w:i/>
        </w:rPr>
      </w:pPr>
      <w:r>
        <w:rPr>
          <w:b/>
          <w:i/>
        </w:rPr>
        <w:t xml:space="preserve">Proposal 3: The Rel-18 FDSS mechanism should still be up to UE implementation and </w:t>
      </w:r>
      <w:r w:rsidRPr="00F768E5">
        <w:rPr>
          <w:b/>
          <w:i/>
        </w:rPr>
        <w:t>transparent to the network</w:t>
      </w:r>
      <w:r>
        <w:rPr>
          <w:b/>
          <w:i/>
        </w:rPr>
        <w:t xml:space="preserve">, in order to minimize the impact to both UE and BS implementation. </w:t>
      </w:r>
    </w:p>
    <w:p w14:paraId="282A2191" w14:textId="5720CEAE" w:rsidR="006045AC" w:rsidRPr="00756C87" w:rsidRDefault="00C95CB8" w:rsidP="00AA2D97">
      <w:pPr>
        <w:jc w:val="both"/>
        <w:rPr>
          <w:iCs/>
        </w:rPr>
      </w:pPr>
      <w:r>
        <w:rPr>
          <w:b/>
          <w:i/>
        </w:rPr>
        <w:t xml:space="preserve">Proposal 4: </w:t>
      </w:r>
      <w:r w:rsidRPr="00C95CB8">
        <w:rPr>
          <w:b/>
          <w:i/>
        </w:rPr>
        <w:t>RAN4 evaluation should not be triggered until RAN1 can converge and provide enough inputs about the</w:t>
      </w:r>
      <w:r>
        <w:rPr>
          <w:b/>
          <w:i/>
        </w:rPr>
        <w:t xml:space="preserve"> FDSS w/wo SE and TR for DFT-s-OFDM</w:t>
      </w:r>
      <w:r w:rsidRPr="00C95CB8">
        <w:rPr>
          <w:b/>
          <w:i/>
        </w:rPr>
        <w:t>.</w:t>
      </w:r>
      <w:r>
        <w:t xml:space="preserve"> </w:t>
      </w:r>
    </w:p>
    <w:p w14:paraId="6E4DEA30" w14:textId="77777777" w:rsidR="00B22DA6" w:rsidRDefault="00B22DA6" w:rsidP="00B22DA6">
      <w:pPr>
        <w:pStyle w:val="1"/>
        <w:numPr>
          <w:ilvl w:val="0"/>
          <w:numId w:val="0"/>
        </w:numPr>
        <w:rPr>
          <w:rFonts w:eastAsia="宋体"/>
          <w:lang w:eastAsia="zh-CN"/>
        </w:rPr>
      </w:pPr>
      <w:r>
        <w:t>References</w:t>
      </w:r>
    </w:p>
    <w:p w14:paraId="3E1E2734" w14:textId="5F6F0AC0" w:rsidR="00B84821" w:rsidRPr="00BE223D" w:rsidRDefault="00BE223D" w:rsidP="00324276">
      <w:pPr>
        <w:numPr>
          <w:ilvl w:val="0"/>
          <w:numId w:val="10"/>
        </w:numPr>
        <w:tabs>
          <w:tab w:val="clear" w:pos="720"/>
          <w:tab w:val="num" w:pos="426"/>
        </w:tabs>
        <w:overflowPunct/>
        <w:autoSpaceDE/>
        <w:autoSpaceDN/>
        <w:adjustRightInd/>
        <w:ind w:left="426" w:hanging="426"/>
        <w:jc w:val="both"/>
        <w:textAlignment w:val="auto"/>
        <w:rPr>
          <w:lang w:val="it-IT" w:eastAsia="ja-JP"/>
        </w:rPr>
      </w:pPr>
      <w:r>
        <w:t>RP</w:t>
      </w:r>
      <w:r w:rsidR="00212750">
        <w:t>-22</w:t>
      </w:r>
      <w:r>
        <w:t>1</w:t>
      </w:r>
      <w:r w:rsidR="00BB4057">
        <w:t>858</w:t>
      </w:r>
      <w:r w:rsidR="00212750">
        <w:t>, “</w:t>
      </w:r>
      <w:r w:rsidR="00BB4057" w:rsidRPr="00BB4057">
        <w:rPr>
          <w:lang w:eastAsia="ja-JP"/>
        </w:rPr>
        <w:t>Revised WID on</w:t>
      </w:r>
      <w:r w:rsidR="00BB4057" w:rsidRPr="00BB4057">
        <w:rPr>
          <w:rFonts w:hint="eastAsia"/>
          <w:lang w:eastAsia="ja-JP"/>
        </w:rPr>
        <w:t xml:space="preserve"> </w:t>
      </w:r>
      <w:r w:rsidR="00BB4057" w:rsidRPr="00BB4057">
        <w:rPr>
          <w:lang w:eastAsia="ja-JP"/>
        </w:rPr>
        <w:t>Further NR coverage enhancements</w:t>
      </w:r>
      <w:r w:rsidR="00212750">
        <w:t xml:space="preserve">”, </w:t>
      </w:r>
      <w:r w:rsidR="00BB4057">
        <w:t>China Telecom,</w:t>
      </w:r>
      <w:r w:rsidR="00212750">
        <w:t xml:space="preserve"> </w:t>
      </w:r>
      <w:r w:rsidR="00212750" w:rsidRPr="000B78E6">
        <w:t>3GPP TSG-RAN Meeting #</w:t>
      </w:r>
      <w:r>
        <w:t>96</w:t>
      </w:r>
      <w:r w:rsidR="00212750">
        <w:t xml:space="preserve">, </w:t>
      </w:r>
      <w:r>
        <w:t>Budapest</w:t>
      </w:r>
      <w:r w:rsidR="00212750">
        <w:rPr>
          <w:lang w:val="it-IT"/>
        </w:rPr>
        <w:t>,</w:t>
      </w:r>
      <w:r>
        <w:rPr>
          <w:lang w:val="it-IT"/>
        </w:rPr>
        <w:t xml:space="preserve"> Hungary,</w:t>
      </w:r>
      <w:r w:rsidR="00212750">
        <w:t xml:space="preserve"> </w:t>
      </w:r>
      <w:r>
        <w:t>June</w:t>
      </w:r>
      <w:r w:rsidR="008F51D3">
        <w:t xml:space="preserve"> </w:t>
      </w:r>
      <w:r>
        <w:t>6</w:t>
      </w:r>
      <w:r w:rsidR="008F51D3">
        <w:t xml:space="preserve"> – </w:t>
      </w:r>
      <w:r>
        <w:t>9</w:t>
      </w:r>
      <w:r w:rsidR="008F51D3">
        <w:t>,</w:t>
      </w:r>
      <w:r w:rsidR="00212750" w:rsidRPr="003F67FF">
        <w:t xml:space="preserve"> 2022</w:t>
      </w:r>
      <w:r w:rsidR="00BB41AF">
        <w:t>.</w:t>
      </w:r>
    </w:p>
    <w:p w14:paraId="3012C609" w14:textId="4F768489" w:rsidR="00AD4268" w:rsidRPr="00420033" w:rsidRDefault="00EB0381" w:rsidP="00480DE7">
      <w:pPr>
        <w:numPr>
          <w:ilvl w:val="0"/>
          <w:numId w:val="10"/>
        </w:numPr>
        <w:tabs>
          <w:tab w:val="clear" w:pos="720"/>
          <w:tab w:val="num" w:pos="426"/>
        </w:tabs>
        <w:overflowPunct/>
        <w:autoSpaceDE/>
        <w:autoSpaceDN/>
        <w:adjustRightInd/>
        <w:ind w:left="426" w:hanging="426"/>
        <w:jc w:val="both"/>
        <w:textAlignment w:val="auto"/>
        <w:rPr>
          <w:lang w:val="it-IT" w:eastAsia="ja-JP"/>
        </w:rPr>
      </w:pPr>
      <w:r>
        <w:t>R4-2210767, “</w:t>
      </w:r>
      <w:r w:rsidRPr="00EB0381">
        <w:t>Increasing the maximum power limit for inter-band UL CA</w:t>
      </w:r>
      <w:r>
        <w:t xml:space="preserve">”, </w:t>
      </w:r>
      <w:r w:rsidRPr="00EB0381">
        <w:t>Qualcomm Incorporated, Verizon, Vodafone, Deutsche Telekom, US Cellular, T-Mobile USA, AT&amp;T, China Unicom, NTT DOCOMO, INC., China Telecom, Nokia, Nokia Shanghai Bell, Cable</w:t>
      </w:r>
      <w:r>
        <w:t xml:space="preserve"> </w:t>
      </w:r>
      <w:r w:rsidRPr="00EB0381">
        <w:t>Labs, Charter Communications, Inc., Dish Network, Skyworks Solutions, Inc., ZTE, Huawei, HiSilicon</w:t>
      </w:r>
      <w:r w:rsidRPr="000B78E6">
        <w:t>3GPP TSG-RAN</w:t>
      </w:r>
      <w:r>
        <w:t>4</w:t>
      </w:r>
      <w:r w:rsidRPr="000B78E6">
        <w:t xml:space="preserve"> Meeting #</w:t>
      </w:r>
      <w:r>
        <w:t>103-e, Electronic Meeting</w:t>
      </w:r>
      <w:r>
        <w:rPr>
          <w:lang w:val="it-IT"/>
        </w:rPr>
        <w:t>,</w:t>
      </w:r>
      <w:r>
        <w:t xml:space="preserve"> May 9 – 20,</w:t>
      </w:r>
      <w:r w:rsidRPr="003F67FF">
        <w:t xml:space="preserve"> 2022</w:t>
      </w:r>
      <w:r>
        <w:t>.</w:t>
      </w:r>
    </w:p>
    <w:p w14:paraId="765A1613" w14:textId="445210C5" w:rsidR="00420033" w:rsidRPr="009E15AF" w:rsidRDefault="00420033" w:rsidP="009E15AF">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RP-220136, “</w:t>
      </w:r>
      <w:r w:rsidRPr="003801F2">
        <w:rPr>
          <w:lang w:val="en-US" w:eastAsia="ja-JP"/>
        </w:rPr>
        <w:t>Study on optimizations of pi/2 BPSK uplink power in NR</w:t>
      </w:r>
      <w:r>
        <w:rPr>
          <w:lang w:val="it-IT" w:eastAsia="ja-JP"/>
        </w:rPr>
        <w:t xml:space="preserve">”, Qualcomm, </w:t>
      </w:r>
      <w:r w:rsidRPr="000B78E6">
        <w:t>3GPP TSG-RAN Meeting #</w:t>
      </w:r>
      <w:r>
        <w:t>95e, Electronic Meeting</w:t>
      </w:r>
      <w:r>
        <w:rPr>
          <w:lang w:val="it-IT"/>
        </w:rPr>
        <w:t>, March 17</w:t>
      </w:r>
      <w:r>
        <w:t xml:space="preserve"> – </w:t>
      </w:r>
      <w:r>
        <w:rPr>
          <w:lang w:val="it-IT"/>
        </w:rPr>
        <w:t>23</w:t>
      </w:r>
      <w:r>
        <w:t>,</w:t>
      </w:r>
      <w:r w:rsidRPr="003F67FF">
        <w:t xml:space="preserve"> 2022</w:t>
      </w:r>
      <w:r>
        <w:t>.</w:t>
      </w:r>
    </w:p>
    <w:sectPr w:rsidR="00420033" w:rsidRPr="009E15AF"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A8C3C" w14:textId="77777777" w:rsidR="00B52AB8" w:rsidRDefault="00B52AB8" w:rsidP="0052762B">
      <w:r>
        <w:separator/>
      </w:r>
    </w:p>
  </w:endnote>
  <w:endnote w:type="continuationSeparator" w:id="0">
    <w:p w14:paraId="764C8A65" w14:textId="77777777" w:rsidR="00B52AB8" w:rsidRDefault="00B52AB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ACAB1" w14:textId="77777777" w:rsidR="00B52AB8" w:rsidRDefault="00B52AB8" w:rsidP="0052762B">
      <w:r>
        <w:separator/>
      </w:r>
    </w:p>
  </w:footnote>
  <w:footnote w:type="continuationSeparator" w:id="0">
    <w:p w14:paraId="38283E9B" w14:textId="77777777" w:rsidR="00B52AB8" w:rsidRDefault="00B52AB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2146F"/>
    <w:multiLevelType w:val="hybridMultilevel"/>
    <w:tmpl w:val="75222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8F24E7"/>
    <w:multiLevelType w:val="multilevel"/>
    <w:tmpl w:val="3078CAB0"/>
    <w:lvl w:ilvl="0">
      <w:numFmt w:val="bullet"/>
      <w:lvlText w:val="-"/>
      <w:lvlJc w:val="left"/>
      <w:pPr>
        <w:ind w:left="440" w:hanging="420"/>
      </w:pPr>
      <w:rPr>
        <w:rFonts w:ascii="Times New Roman" w:eastAsia="Times New Roman" w:hAnsi="Times New Roman" w:cs="Times New Roman" w:hint="default"/>
      </w:rPr>
    </w:lvl>
    <w:lvl w:ilvl="1">
      <w:start w:val="1"/>
      <w:numFmt w:val="bullet"/>
      <w:lvlText w:val="o"/>
      <w:lvlJc w:val="left"/>
      <w:pPr>
        <w:ind w:left="860" w:hanging="420"/>
      </w:pPr>
      <w:rPr>
        <w:rFonts w:ascii="Courier New" w:hAnsi="Courier New" w:cs="Courier New"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B64CBB"/>
    <w:multiLevelType w:val="hybridMultilevel"/>
    <w:tmpl w:val="A344D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B60396"/>
    <w:multiLevelType w:val="hybridMultilevel"/>
    <w:tmpl w:val="81C6E7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2A61DE"/>
    <w:multiLevelType w:val="hybridMultilevel"/>
    <w:tmpl w:val="9C7CC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9DB694C"/>
    <w:multiLevelType w:val="hybridMultilevel"/>
    <w:tmpl w:val="927AECE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ECC0BD0"/>
    <w:multiLevelType w:val="hybridMultilevel"/>
    <w:tmpl w:val="4F88A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330F2"/>
    <w:multiLevelType w:val="multilevel"/>
    <w:tmpl w:val="67F330F2"/>
    <w:lvl w:ilvl="0">
      <w:start w:val="2022"/>
      <w:numFmt w:val="bullet"/>
      <w:lvlText w:val="-"/>
      <w:lvlJc w:val="left"/>
      <w:rPr>
        <w:rFonts w:ascii="Arial" w:eastAsia="Yu Mincho" w:hAnsi="Arial" w:cs="Arial"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26" w15:restartNumberingAfterBreak="0">
    <w:nsid w:val="6B002B58"/>
    <w:multiLevelType w:val="hybridMultilevel"/>
    <w:tmpl w:val="C29C88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7"/>
  </w:num>
  <w:num w:numId="4">
    <w:abstractNumId w:val="28"/>
  </w:num>
  <w:num w:numId="5">
    <w:abstractNumId w:val="27"/>
  </w:num>
  <w:num w:numId="6">
    <w:abstractNumId w:val="12"/>
  </w:num>
  <w:num w:numId="7">
    <w:abstractNumId w:val="20"/>
  </w:num>
  <w:num w:numId="8">
    <w:abstractNumId w:val="31"/>
  </w:num>
  <w:num w:numId="9">
    <w:abstractNumId w:val="9"/>
  </w:num>
  <w:num w:numId="10">
    <w:abstractNumId w:val="30"/>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4"/>
  </w:num>
  <w:num w:numId="14">
    <w:abstractNumId w:val="21"/>
  </w:num>
  <w:num w:numId="15">
    <w:abstractNumId w:val="2"/>
  </w:num>
  <w:num w:numId="16">
    <w:abstractNumId w:val="15"/>
  </w:num>
  <w:num w:numId="17">
    <w:abstractNumId w:val="10"/>
  </w:num>
  <w:num w:numId="18">
    <w:abstractNumId w:val="3"/>
  </w:num>
  <w:num w:numId="19">
    <w:abstractNumId w:val="1"/>
  </w:num>
  <w:num w:numId="20">
    <w:abstractNumId w:val="8"/>
  </w:num>
  <w:num w:numId="21">
    <w:abstractNumId w:val="29"/>
  </w:num>
  <w:num w:numId="22">
    <w:abstractNumId w:val="25"/>
  </w:num>
  <w:num w:numId="23">
    <w:abstractNumId w:val="7"/>
  </w:num>
  <w:num w:numId="24">
    <w:abstractNumId w:val="16"/>
  </w:num>
  <w:num w:numId="25">
    <w:abstractNumId w:val="24"/>
  </w:num>
  <w:num w:numId="26">
    <w:abstractNumId w:val="5"/>
  </w:num>
  <w:num w:numId="27">
    <w:abstractNumId w:val="4"/>
  </w:num>
  <w:num w:numId="28">
    <w:abstractNumId w:val="26"/>
  </w:num>
  <w:num w:numId="29">
    <w:abstractNumId w:val="23"/>
  </w:num>
  <w:num w:numId="30">
    <w:abstractNumId w:val="0"/>
  </w:num>
  <w:num w:numId="31">
    <w:abstractNumId w:val="11"/>
  </w:num>
  <w:num w:numId="32">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749"/>
    <w:rsid w:val="00034BF3"/>
    <w:rsid w:val="00034F28"/>
    <w:rsid w:val="0003564D"/>
    <w:rsid w:val="000365C5"/>
    <w:rsid w:val="000368DA"/>
    <w:rsid w:val="00037162"/>
    <w:rsid w:val="0003726B"/>
    <w:rsid w:val="000402AB"/>
    <w:rsid w:val="00040B71"/>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55A"/>
    <w:rsid w:val="0005366B"/>
    <w:rsid w:val="000537B3"/>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B92"/>
    <w:rsid w:val="00063EED"/>
    <w:rsid w:val="0006423A"/>
    <w:rsid w:val="00064D8A"/>
    <w:rsid w:val="00065851"/>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F33"/>
    <w:rsid w:val="00080995"/>
    <w:rsid w:val="00080C3A"/>
    <w:rsid w:val="000811DA"/>
    <w:rsid w:val="000813C2"/>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E4"/>
    <w:rsid w:val="000B5225"/>
    <w:rsid w:val="000B5449"/>
    <w:rsid w:val="000B5955"/>
    <w:rsid w:val="000B5A70"/>
    <w:rsid w:val="000B5EEC"/>
    <w:rsid w:val="000B652E"/>
    <w:rsid w:val="000B6621"/>
    <w:rsid w:val="000B73D6"/>
    <w:rsid w:val="000B770A"/>
    <w:rsid w:val="000C00A2"/>
    <w:rsid w:val="000C0153"/>
    <w:rsid w:val="000C0293"/>
    <w:rsid w:val="000C0A4B"/>
    <w:rsid w:val="000C18F9"/>
    <w:rsid w:val="000C2877"/>
    <w:rsid w:val="000C28E8"/>
    <w:rsid w:val="000C2EF7"/>
    <w:rsid w:val="000C322C"/>
    <w:rsid w:val="000C3874"/>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C"/>
    <w:rsid w:val="000D02AA"/>
    <w:rsid w:val="000D0B01"/>
    <w:rsid w:val="000D1172"/>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4A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585"/>
    <w:rsid w:val="00104A73"/>
    <w:rsid w:val="001051FC"/>
    <w:rsid w:val="0010552D"/>
    <w:rsid w:val="001059E2"/>
    <w:rsid w:val="00105D85"/>
    <w:rsid w:val="00105FAF"/>
    <w:rsid w:val="0010684E"/>
    <w:rsid w:val="001068E4"/>
    <w:rsid w:val="00106902"/>
    <w:rsid w:val="00106A89"/>
    <w:rsid w:val="001076AC"/>
    <w:rsid w:val="00107A6A"/>
    <w:rsid w:val="00111828"/>
    <w:rsid w:val="00112551"/>
    <w:rsid w:val="0011274D"/>
    <w:rsid w:val="0011282B"/>
    <w:rsid w:val="00112969"/>
    <w:rsid w:val="0011297B"/>
    <w:rsid w:val="00112D66"/>
    <w:rsid w:val="00112DDC"/>
    <w:rsid w:val="00114108"/>
    <w:rsid w:val="001145CD"/>
    <w:rsid w:val="00114764"/>
    <w:rsid w:val="00115AEF"/>
    <w:rsid w:val="00116080"/>
    <w:rsid w:val="00116445"/>
    <w:rsid w:val="00116DF7"/>
    <w:rsid w:val="001171C1"/>
    <w:rsid w:val="00117964"/>
    <w:rsid w:val="00120BBB"/>
    <w:rsid w:val="0012120A"/>
    <w:rsid w:val="00123086"/>
    <w:rsid w:val="001230AC"/>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2EDB"/>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1DA1"/>
    <w:rsid w:val="00192290"/>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90C"/>
    <w:rsid w:val="001A2EA7"/>
    <w:rsid w:val="001A3585"/>
    <w:rsid w:val="001A45F5"/>
    <w:rsid w:val="001A45FD"/>
    <w:rsid w:val="001A4830"/>
    <w:rsid w:val="001A52F1"/>
    <w:rsid w:val="001A54D6"/>
    <w:rsid w:val="001A595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59B"/>
    <w:rsid w:val="001B6637"/>
    <w:rsid w:val="001B663F"/>
    <w:rsid w:val="001B7033"/>
    <w:rsid w:val="001B708E"/>
    <w:rsid w:val="001B72DC"/>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7E8"/>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4EB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6BB"/>
    <w:rsid w:val="002D292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9"/>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276"/>
    <w:rsid w:val="00324355"/>
    <w:rsid w:val="00324C8F"/>
    <w:rsid w:val="00324EF3"/>
    <w:rsid w:val="003250DA"/>
    <w:rsid w:val="0032538B"/>
    <w:rsid w:val="00325D02"/>
    <w:rsid w:val="00325FB1"/>
    <w:rsid w:val="003262D8"/>
    <w:rsid w:val="00326780"/>
    <w:rsid w:val="0032716F"/>
    <w:rsid w:val="00327258"/>
    <w:rsid w:val="00331251"/>
    <w:rsid w:val="0033133D"/>
    <w:rsid w:val="00331B0D"/>
    <w:rsid w:val="00331F28"/>
    <w:rsid w:val="00331F60"/>
    <w:rsid w:val="00332A3B"/>
    <w:rsid w:val="00332E63"/>
    <w:rsid w:val="0033353B"/>
    <w:rsid w:val="0033380C"/>
    <w:rsid w:val="003340DC"/>
    <w:rsid w:val="0033431C"/>
    <w:rsid w:val="003343B0"/>
    <w:rsid w:val="003348A3"/>
    <w:rsid w:val="0033529C"/>
    <w:rsid w:val="00335F81"/>
    <w:rsid w:val="0033686C"/>
    <w:rsid w:val="00337014"/>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692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1098"/>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1F2"/>
    <w:rsid w:val="0038060E"/>
    <w:rsid w:val="003806B5"/>
    <w:rsid w:val="00381934"/>
    <w:rsid w:val="00381A7A"/>
    <w:rsid w:val="00382108"/>
    <w:rsid w:val="00382335"/>
    <w:rsid w:val="00382B6B"/>
    <w:rsid w:val="00382D5F"/>
    <w:rsid w:val="00382DD6"/>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38F"/>
    <w:rsid w:val="00393614"/>
    <w:rsid w:val="003936F2"/>
    <w:rsid w:val="00393873"/>
    <w:rsid w:val="00394D01"/>
    <w:rsid w:val="003950DD"/>
    <w:rsid w:val="00395EC0"/>
    <w:rsid w:val="0039607A"/>
    <w:rsid w:val="0039647A"/>
    <w:rsid w:val="003967B5"/>
    <w:rsid w:val="00396825"/>
    <w:rsid w:val="003A1B19"/>
    <w:rsid w:val="003A2D00"/>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07"/>
    <w:rsid w:val="003C381B"/>
    <w:rsid w:val="003C3A38"/>
    <w:rsid w:val="003C5AA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D7D69"/>
    <w:rsid w:val="003E01AA"/>
    <w:rsid w:val="003E0386"/>
    <w:rsid w:val="003E0880"/>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D08"/>
    <w:rsid w:val="0040416A"/>
    <w:rsid w:val="00405597"/>
    <w:rsid w:val="004061CC"/>
    <w:rsid w:val="00406346"/>
    <w:rsid w:val="004065E5"/>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298"/>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CA5"/>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B8A"/>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0DE7"/>
    <w:rsid w:val="004819D9"/>
    <w:rsid w:val="00482DD9"/>
    <w:rsid w:val="004835A3"/>
    <w:rsid w:val="004837D1"/>
    <w:rsid w:val="00483943"/>
    <w:rsid w:val="00485764"/>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833"/>
    <w:rsid w:val="004B5067"/>
    <w:rsid w:val="004B5CEE"/>
    <w:rsid w:val="004B5E9B"/>
    <w:rsid w:val="004B627C"/>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541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0E87"/>
    <w:rsid w:val="0054133C"/>
    <w:rsid w:val="00541579"/>
    <w:rsid w:val="00541CD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EA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0D25"/>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6EA2"/>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1A7"/>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2B50"/>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6338"/>
    <w:rsid w:val="005D67F2"/>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1A0C"/>
    <w:rsid w:val="0060245E"/>
    <w:rsid w:val="006034A7"/>
    <w:rsid w:val="00604275"/>
    <w:rsid w:val="006045AC"/>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09A"/>
    <w:rsid w:val="00626C0D"/>
    <w:rsid w:val="00627034"/>
    <w:rsid w:val="00627189"/>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409"/>
    <w:rsid w:val="00660948"/>
    <w:rsid w:val="006614E0"/>
    <w:rsid w:val="00661A5F"/>
    <w:rsid w:val="00661EC4"/>
    <w:rsid w:val="00662717"/>
    <w:rsid w:val="00662924"/>
    <w:rsid w:val="006630AB"/>
    <w:rsid w:val="006632B0"/>
    <w:rsid w:val="00664234"/>
    <w:rsid w:val="00664591"/>
    <w:rsid w:val="00664901"/>
    <w:rsid w:val="00664F0E"/>
    <w:rsid w:val="00665E21"/>
    <w:rsid w:val="006666AB"/>
    <w:rsid w:val="00666869"/>
    <w:rsid w:val="00666A8C"/>
    <w:rsid w:val="00666F9C"/>
    <w:rsid w:val="00667547"/>
    <w:rsid w:val="0067179E"/>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EF1"/>
    <w:rsid w:val="00682042"/>
    <w:rsid w:val="0068260E"/>
    <w:rsid w:val="006827EE"/>
    <w:rsid w:val="00682A28"/>
    <w:rsid w:val="00682A8F"/>
    <w:rsid w:val="00683FFC"/>
    <w:rsid w:val="00684129"/>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61B"/>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4B54"/>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49AE"/>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4E1"/>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6D"/>
    <w:rsid w:val="00736D52"/>
    <w:rsid w:val="00736DF6"/>
    <w:rsid w:val="007372D5"/>
    <w:rsid w:val="007372FB"/>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C87"/>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77F46"/>
    <w:rsid w:val="00780611"/>
    <w:rsid w:val="007810AF"/>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010"/>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F76"/>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EC5"/>
    <w:rsid w:val="00841331"/>
    <w:rsid w:val="008416A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4BA"/>
    <w:rsid w:val="00874063"/>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51AC"/>
    <w:rsid w:val="008C57A9"/>
    <w:rsid w:val="008C6315"/>
    <w:rsid w:val="008C7CC9"/>
    <w:rsid w:val="008D0797"/>
    <w:rsid w:val="008D0A2C"/>
    <w:rsid w:val="008D0BAD"/>
    <w:rsid w:val="008D0F24"/>
    <w:rsid w:val="008D169B"/>
    <w:rsid w:val="008D233A"/>
    <w:rsid w:val="008D29C0"/>
    <w:rsid w:val="008D436F"/>
    <w:rsid w:val="008D4FDA"/>
    <w:rsid w:val="008D7410"/>
    <w:rsid w:val="008D745A"/>
    <w:rsid w:val="008E01E5"/>
    <w:rsid w:val="008E05C3"/>
    <w:rsid w:val="008E07B3"/>
    <w:rsid w:val="008E0FDA"/>
    <w:rsid w:val="008E18F2"/>
    <w:rsid w:val="008E1B4C"/>
    <w:rsid w:val="008E25D0"/>
    <w:rsid w:val="008E25EB"/>
    <w:rsid w:val="008E2633"/>
    <w:rsid w:val="008E2662"/>
    <w:rsid w:val="008E37F6"/>
    <w:rsid w:val="008E3A3C"/>
    <w:rsid w:val="008E3BCB"/>
    <w:rsid w:val="008E40CC"/>
    <w:rsid w:val="008E43E2"/>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F84"/>
    <w:rsid w:val="009051EF"/>
    <w:rsid w:val="00905557"/>
    <w:rsid w:val="00905C08"/>
    <w:rsid w:val="00906435"/>
    <w:rsid w:val="00906E43"/>
    <w:rsid w:val="00910330"/>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0A59"/>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DF"/>
    <w:rsid w:val="009427EC"/>
    <w:rsid w:val="009435E6"/>
    <w:rsid w:val="0094389F"/>
    <w:rsid w:val="00944791"/>
    <w:rsid w:val="00944AF1"/>
    <w:rsid w:val="00944F95"/>
    <w:rsid w:val="00945BE5"/>
    <w:rsid w:val="0094621E"/>
    <w:rsid w:val="00946C26"/>
    <w:rsid w:val="009470FF"/>
    <w:rsid w:val="00947F06"/>
    <w:rsid w:val="00950452"/>
    <w:rsid w:val="00950C61"/>
    <w:rsid w:val="00950D30"/>
    <w:rsid w:val="00951DE2"/>
    <w:rsid w:val="0095234C"/>
    <w:rsid w:val="0095253C"/>
    <w:rsid w:val="0095282B"/>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949"/>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FBB"/>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A23"/>
    <w:rsid w:val="009D419F"/>
    <w:rsid w:val="009D4F0C"/>
    <w:rsid w:val="009D530B"/>
    <w:rsid w:val="009D54A1"/>
    <w:rsid w:val="009D5855"/>
    <w:rsid w:val="009D58F3"/>
    <w:rsid w:val="009D61BE"/>
    <w:rsid w:val="009D6CBA"/>
    <w:rsid w:val="009D6EB2"/>
    <w:rsid w:val="009D7747"/>
    <w:rsid w:val="009D79DA"/>
    <w:rsid w:val="009E07C4"/>
    <w:rsid w:val="009E123E"/>
    <w:rsid w:val="009E12F0"/>
    <w:rsid w:val="009E1400"/>
    <w:rsid w:val="009E15AF"/>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87C"/>
    <w:rsid w:val="00A675F9"/>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DE4"/>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899"/>
    <w:rsid w:val="00AA6BE8"/>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59B"/>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1DE"/>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6B6"/>
    <w:rsid w:val="00B377DD"/>
    <w:rsid w:val="00B37F54"/>
    <w:rsid w:val="00B4094F"/>
    <w:rsid w:val="00B409FB"/>
    <w:rsid w:val="00B41B72"/>
    <w:rsid w:val="00B4257B"/>
    <w:rsid w:val="00B42FE2"/>
    <w:rsid w:val="00B43111"/>
    <w:rsid w:val="00B43516"/>
    <w:rsid w:val="00B43EC2"/>
    <w:rsid w:val="00B444DF"/>
    <w:rsid w:val="00B4459E"/>
    <w:rsid w:val="00B44B0B"/>
    <w:rsid w:val="00B45243"/>
    <w:rsid w:val="00B4579E"/>
    <w:rsid w:val="00B458DE"/>
    <w:rsid w:val="00B459F6"/>
    <w:rsid w:val="00B46D69"/>
    <w:rsid w:val="00B470EF"/>
    <w:rsid w:val="00B47509"/>
    <w:rsid w:val="00B512C9"/>
    <w:rsid w:val="00B512DB"/>
    <w:rsid w:val="00B51B7A"/>
    <w:rsid w:val="00B52AB8"/>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6F09"/>
    <w:rsid w:val="00B777FC"/>
    <w:rsid w:val="00B77BF7"/>
    <w:rsid w:val="00B77ECC"/>
    <w:rsid w:val="00B80711"/>
    <w:rsid w:val="00B814EE"/>
    <w:rsid w:val="00B81941"/>
    <w:rsid w:val="00B82295"/>
    <w:rsid w:val="00B82750"/>
    <w:rsid w:val="00B82FA8"/>
    <w:rsid w:val="00B83694"/>
    <w:rsid w:val="00B83D94"/>
    <w:rsid w:val="00B83D9C"/>
    <w:rsid w:val="00B83EAB"/>
    <w:rsid w:val="00B83FF6"/>
    <w:rsid w:val="00B84179"/>
    <w:rsid w:val="00B84388"/>
    <w:rsid w:val="00B845D3"/>
    <w:rsid w:val="00B845E6"/>
    <w:rsid w:val="00B84821"/>
    <w:rsid w:val="00B849E7"/>
    <w:rsid w:val="00B857FF"/>
    <w:rsid w:val="00B85807"/>
    <w:rsid w:val="00B861D9"/>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2BF"/>
    <w:rsid w:val="00BA105E"/>
    <w:rsid w:val="00BA23E7"/>
    <w:rsid w:val="00BA27FC"/>
    <w:rsid w:val="00BA2BC5"/>
    <w:rsid w:val="00BA2F0C"/>
    <w:rsid w:val="00BA2F69"/>
    <w:rsid w:val="00BA317D"/>
    <w:rsid w:val="00BA3D64"/>
    <w:rsid w:val="00BA3F36"/>
    <w:rsid w:val="00BA4225"/>
    <w:rsid w:val="00BA55DD"/>
    <w:rsid w:val="00BA75AA"/>
    <w:rsid w:val="00BA79DE"/>
    <w:rsid w:val="00BA7DCA"/>
    <w:rsid w:val="00BB0551"/>
    <w:rsid w:val="00BB0A30"/>
    <w:rsid w:val="00BB0F9D"/>
    <w:rsid w:val="00BB1931"/>
    <w:rsid w:val="00BB1F6B"/>
    <w:rsid w:val="00BB2161"/>
    <w:rsid w:val="00BB2554"/>
    <w:rsid w:val="00BB2557"/>
    <w:rsid w:val="00BB2BBB"/>
    <w:rsid w:val="00BB3734"/>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EC2"/>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0896"/>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4CA"/>
    <w:rsid w:val="00C058F0"/>
    <w:rsid w:val="00C05B24"/>
    <w:rsid w:val="00C05F0D"/>
    <w:rsid w:val="00C06B70"/>
    <w:rsid w:val="00C06DF4"/>
    <w:rsid w:val="00C07A01"/>
    <w:rsid w:val="00C07A1B"/>
    <w:rsid w:val="00C103A5"/>
    <w:rsid w:val="00C106F5"/>
    <w:rsid w:val="00C10BB2"/>
    <w:rsid w:val="00C10E9B"/>
    <w:rsid w:val="00C11173"/>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83F"/>
    <w:rsid w:val="00C42BAE"/>
    <w:rsid w:val="00C42FD8"/>
    <w:rsid w:val="00C437F1"/>
    <w:rsid w:val="00C43D1B"/>
    <w:rsid w:val="00C44D3D"/>
    <w:rsid w:val="00C45A95"/>
    <w:rsid w:val="00C46D24"/>
    <w:rsid w:val="00C47ABA"/>
    <w:rsid w:val="00C5016D"/>
    <w:rsid w:val="00C50B47"/>
    <w:rsid w:val="00C50D30"/>
    <w:rsid w:val="00C514ED"/>
    <w:rsid w:val="00C51773"/>
    <w:rsid w:val="00C520C5"/>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41B"/>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A01"/>
    <w:rsid w:val="00C75BD3"/>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7BF"/>
    <w:rsid w:val="00C918DD"/>
    <w:rsid w:val="00C91DB5"/>
    <w:rsid w:val="00C9216E"/>
    <w:rsid w:val="00C94BF2"/>
    <w:rsid w:val="00C950EA"/>
    <w:rsid w:val="00C9533C"/>
    <w:rsid w:val="00C95CB8"/>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474E"/>
    <w:rsid w:val="00CB5115"/>
    <w:rsid w:val="00CB5137"/>
    <w:rsid w:val="00CB6752"/>
    <w:rsid w:val="00CB702A"/>
    <w:rsid w:val="00CB7D59"/>
    <w:rsid w:val="00CB7E23"/>
    <w:rsid w:val="00CC024D"/>
    <w:rsid w:val="00CC0659"/>
    <w:rsid w:val="00CC1B2D"/>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64D"/>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F1A"/>
    <w:rsid w:val="00CE449C"/>
    <w:rsid w:val="00CE4886"/>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F85"/>
    <w:rsid w:val="00CF57FF"/>
    <w:rsid w:val="00CF587C"/>
    <w:rsid w:val="00CF5BEE"/>
    <w:rsid w:val="00CF681C"/>
    <w:rsid w:val="00CF692C"/>
    <w:rsid w:val="00CF7DD7"/>
    <w:rsid w:val="00D01300"/>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385F"/>
    <w:rsid w:val="00D13906"/>
    <w:rsid w:val="00D141EF"/>
    <w:rsid w:val="00D143A0"/>
    <w:rsid w:val="00D154C1"/>
    <w:rsid w:val="00D1578E"/>
    <w:rsid w:val="00D15D57"/>
    <w:rsid w:val="00D15E8C"/>
    <w:rsid w:val="00D16CEB"/>
    <w:rsid w:val="00D176E9"/>
    <w:rsid w:val="00D17D95"/>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A88"/>
    <w:rsid w:val="00D44FCE"/>
    <w:rsid w:val="00D461CD"/>
    <w:rsid w:val="00D46F0A"/>
    <w:rsid w:val="00D4726C"/>
    <w:rsid w:val="00D47570"/>
    <w:rsid w:val="00D47671"/>
    <w:rsid w:val="00D47AE2"/>
    <w:rsid w:val="00D50995"/>
    <w:rsid w:val="00D50E2A"/>
    <w:rsid w:val="00D50FB8"/>
    <w:rsid w:val="00D51743"/>
    <w:rsid w:val="00D51DBD"/>
    <w:rsid w:val="00D52300"/>
    <w:rsid w:val="00D53DED"/>
    <w:rsid w:val="00D5433E"/>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8"/>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EEC"/>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990"/>
    <w:rsid w:val="00DE0C49"/>
    <w:rsid w:val="00DE0CE6"/>
    <w:rsid w:val="00DE1458"/>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20D"/>
    <w:rsid w:val="00E0364D"/>
    <w:rsid w:val="00E03A4E"/>
    <w:rsid w:val="00E0464B"/>
    <w:rsid w:val="00E04DB1"/>
    <w:rsid w:val="00E050B5"/>
    <w:rsid w:val="00E05E95"/>
    <w:rsid w:val="00E07C0A"/>
    <w:rsid w:val="00E07F41"/>
    <w:rsid w:val="00E10D65"/>
    <w:rsid w:val="00E11A21"/>
    <w:rsid w:val="00E12243"/>
    <w:rsid w:val="00E1246D"/>
    <w:rsid w:val="00E128A8"/>
    <w:rsid w:val="00E13657"/>
    <w:rsid w:val="00E147B3"/>
    <w:rsid w:val="00E14BE8"/>
    <w:rsid w:val="00E157DE"/>
    <w:rsid w:val="00E1596E"/>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162D"/>
    <w:rsid w:val="00E61EDA"/>
    <w:rsid w:val="00E62982"/>
    <w:rsid w:val="00E62DA6"/>
    <w:rsid w:val="00E62F7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1C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418"/>
    <w:rsid w:val="00EA7CCB"/>
    <w:rsid w:val="00EB0381"/>
    <w:rsid w:val="00EB0684"/>
    <w:rsid w:val="00EB074F"/>
    <w:rsid w:val="00EB0F30"/>
    <w:rsid w:val="00EB1248"/>
    <w:rsid w:val="00EB1BDB"/>
    <w:rsid w:val="00EB1D82"/>
    <w:rsid w:val="00EB2706"/>
    <w:rsid w:val="00EB3148"/>
    <w:rsid w:val="00EB3461"/>
    <w:rsid w:val="00EB3663"/>
    <w:rsid w:val="00EB512D"/>
    <w:rsid w:val="00EB58C4"/>
    <w:rsid w:val="00EB58C7"/>
    <w:rsid w:val="00EB621B"/>
    <w:rsid w:val="00EB6310"/>
    <w:rsid w:val="00EB643B"/>
    <w:rsid w:val="00EB6D48"/>
    <w:rsid w:val="00EB6EA5"/>
    <w:rsid w:val="00EB73DA"/>
    <w:rsid w:val="00EB7A91"/>
    <w:rsid w:val="00EC07E1"/>
    <w:rsid w:val="00EC1AAF"/>
    <w:rsid w:val="00EC21BB"/>
    <w:rsid w:val="00EC28D1"/>
    <w:rsid w:val="00EC363B"/>
    <w:rsid w:val="00EC3F40"/>
    <w:rsid w:val="00EC3FEB"/>
    <w:rsid w:val="00EC4091"/>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180"/>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759"/>
    <w:rsid w:val="00F32D9E"/>
    <w:rsid w:val="00F33320"/>
    <w:rsid w:val="00F33916"/>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772"/>
    <w:rsid w:val="00F53BC0"/>
    <w:rsid w:val="00F53F1E"/>
    <w:rsid w:val="00F5490C"/>
    <w:rsid w:val="00F55417"/>
    <w:rsid w:val="00F5606F"/>
    <w:rsid w:val="00F56804"/>
    <w:rsid w:val="00F56E8B"/>
    <w:rsid w:val="00F57A3D"/>
    <w:rsid w:val="00F600F6"/>
    <w:rsid w:val="00F60279"/>
    <w:rsid w:val="00F61EC6"/>
    <w:rsid w:val="00F62579"/>
    <w:rsid w:val="00F63875"/>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E5"/>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8E4"/>
    <w:rsid w:val="00FC6DA4"/>
    <w:rsid w:val="00FC7009"/>
    <w:rsid w:val="00FC731C"/>
    <w:rsid w:val="00FC7650"/>
    <w:rsid w:val="00FC776A"/>
    <w:rsid w:val="00FC7B87"/>
    <w:rsid w:val="00FD0F1A"/>
    <w:rsid w:val="00FD115A"/>
    <w:rsid w:val="00FD175F"/>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56D4"/>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F4ECA-02A5-4C61-A1CD-FEA7701F5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TotalTime>
  <Pages>3</Pages>
  <Words>1210</Words>
  <Characters>6900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8094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43</cp:revision>
  <cp:lastPrinted>2010-01-07T02:23:00Z</cp:lastPrinted>
  <dcterms:created xsi:type="dcterms:W3CDTF">2022-09-30T11:20:00Z</dcterms:created>
  <dcterms:modified xsi:type="dcterms:W3CDTF">2022-09-30T15:05:00Z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(3)UZW8UTbLJ5Dc2IXGQeWmFplEQdD0HhsmQMe9SkbJdpSBmwNs6qpjLNPoNXcTRb4txOAk9il0
tz+YA98EZnu3efIhHYUsMP3wmvyO5A9cTNrWHsaeopF8av+nP7rTBDt3psqxV4YBL21hMMam
/jfRANuIYj156T3177Z6JXV+U1J11FakdsKvrtoqQOxdXHCZSbTNS9/ct8lKdvoEee29auOK
oK60vv77KEh7qWphnG</vt:lpwstr>
  </property>
  <property fmtid="{D5CDD505-2E9C-101B-9397-08002B2CF9AE}" pid="15" name="_2015_ms_pID_725343_00">
    <vt:lpwstr>_2015_ms_pID_725343</vt:lpwstr>
  </property>
  <property fmtid="{D5CDD505-2E9C-101B-9397-08002B2CF9AE}" pid="16" name="_2015_ms_pID_7253431">
    <vt:lpwstr>Awn/I4s47LMlCQ5KqvtCs5k4v4zxjrqO7ONXg32WzEyaZ1PQ1l3XRG
xyarIVFJCrT/8hDe2mtmcNpGUukRqO+AvCn8tmpjA3G5Z+nXB7nwSieigjYtIEWCKZGLtMk/
st/HcZsvNIvEANz9jscHJAP1I2BWA5F2yj7nNCwqnPQFZ6leGsI4ycF0L4XAltPOHwEJ+GRh
jX2qSj4kfqbotT/zkxzC38MoNE+gEzIn4Kq5</vt:lpwstr>
  </property>
  <property fmtid="{D5CDD505-2E9C-101B-9397-08002B2CF9AE}" pid="17" name="_2015_ms_pID_7253431_00">
    <vt:lpwstr>_2015_ms_pID_7253431</vt:lpwstr>
  </property>
  <property fmtid="{D5CDD505-2E9C-101B-9397-08002B2CF9AE}" pid="18" name="_2015_ms_pID_7253432">
    <vt:lpwstr>ng==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1663485797</vt:lpwstr>
  </property>
</Properties>
</file>